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E7FE" w14:textId="486C4870"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Biden- Harris Administration</w:t>
      </w:r>
    </w:p>
    <w:p w14:paraId="06EDAA9A" w14:textId="7D23D5C3" w:rsidR="00BA4E2B" w:rsidRPr="00924EC7" w:rsidRDefault="00BA4E2B" w:rsidP="005A7A6B">
      <w:pPr>
        <w:spacing w:after="0" w:line="240" w:lineRule="auto"/>
        <w:jc w:val="center"/>
        <w:rPr>
          <w:b/>
          <w:bCs/>
          <w:i/>
          <w:iCs/>
          <w:color w:val="4472C4" w:themeColor="accent1"/>
          <w:sz w:val="32"/>
          <w:szCs w:val="32"/>
        </w:rPr>
      </w:pPr>
      <w:r w:rsidRPr="00924EC7">
        <w:rPr>
          <w:b/>
          <w:bCs/>
          <w:i/>
          <w:iCs/>
          <w:color w:val="4472C4" w:themeColor="accent1"/>
          <w:sz w:val="32"/>
          <w:szCs w:val="32"/>
        </w:rPr>
        <w:t>National Strategy on Hunger, Nutrition and Health</w:t>
      </w:r>
    </w:p>
    <w:p w14:paraId="352D352B" w14:textId="49C8D88D" w:rsidR="00BA4E2B" w:rsidRDefault="00BA4E2B" w:rsidP="005A7A6B">
      <w:pPr>
        <w:spacing w:after="0" w:line="240" w:lineRule="auto"/>
        <w:jc w:val="center"/>
        <w:rPr>
          <w:b/>
          <w:bCs/>
          <w:sz w:val="32"/>
          <w:szCs w:val="32"/>
        </w:rPr>
      </w:pPr>
      <w:r w:rsidRPr="00924EC7">
        <w:rPr>
          <w:b/>
          <w:bCs/>
          <w:sz w:val="32"/>
          <w:szCs w:val="32"/>
        </w:rPr>
        <w:t>Call to Action for a Whole of Society Response by Pillar</w:t>
      </w:r>
    </w:p>
    <w:p w14:paraId="4966E758" w14:textId="37E68E74" w:rsidR="008D3BC2" w:rsidRPr="008D3BC2" w:rsidRDefault="008D3BC2" w:rsidP="005A7A6B">
      <w:pPr>
        <w:spacing w:after="0" w:line="240" w:lineRule="auto"/>
        <w:jc w:val="center"/>
        <w:rPr>
          <w:b/>
          <w:bCs/>
          <w:i/>
          <w:iCs/>
          <w:sz w:val="24"/>
          <w:szCs w:val="24"/>
        </w:rPr>
      </w:pPr>
      <w:r w:rsidRPr="008D3BC2">
        <w:rPr>
          <w:b/>
          <w:bCs/>
          <w:i/>
          <w:iCs/>
          <w:sz w:val="32"/>
          <w:szCs w:val="32"/>
        </w:rPr>
        <w:t xml:space="preserve">Access the </w:t>
      </w:r>
      <w:hyperlink r:id="rId7" w:history="1">
        <w:r w:rsidRPr="008D3BC2">
          <w:rPr>
            <w:rStyle w:val="Hyperlink"/>
            <w:b/>
            <w:bCs/>
            <w:i/>
            <w:iCs/>
            <w:sz w:val="32"/>
            <w:szCs w:val="32"/>
          </w:rPr>
          <w:t>Full Report</w:t>
        </w:r>
      </w:hyperlink>
    </w:p>
    <w:p w14:paraId="5E596763" w14:textId="77777777" w:rsidR="005A7A6B" w:rsidRPr="008D3BC2" w:rsidRDefault="005A7A6B">
      <w:pPr>
        <w:rPr>
          <w:i/>
          <w:iCs/>
        </w:rPr>
      </w:pPr>
    </w:p>
    <w:p w14:paraId="7C28DB6E" w14:textId="0F9FE074" w:rsidR="005664AA" w:rsidRPr="003469E3" w:rsidRDefault="005664AA" w:rsidP="005664AA">
      <w:pPr>
        <w:rPr>
          <w:b/>
          <w:bCs/>
          <w:sz w:val="28"/>
          <w:szCs w:val="28"/>
        </w:rPr>
      </w:pPr>
      <w:r w:rsidRPr="00924EC7">
        <w:rPr>
          <w:b/>
          <w:bCs/>
          <w:sz w:val="28"/>
          <w:szCs w:val="28"/>
        </w:rPr>
        <w:t>Pillar 5—Enhance Nutrition and Food Security Research</w:t>
      </w:r>
      <w:r w:rsidR="00924EC7">
        <w:br/>
      </w:r>
      <w:r w:rsidRPr="00924EC7">
        <w:rPr>
          <w:sz w:val="24"/>
          <w:szCs w:val="24"/>
        </w:rPr>
        <w:t>Improve nutrition metrics, data collection, and research to inform nutrition and food security policy, particularly on issues of equity, access, and disparities.</w:t>
      </w:r>
    </w:p>
    <w:p w14:paraId="12F6BCA0" w14:textId="77777777" w:rsidR="00924EC7" w:rsidRDefault="005664AA" w:rsidP="005664AA">
      <w:pPr>
        <w:rPr>
          <w:i/>
          <w:iCs/>
        </w:rPr>
      </w:pPr>
      <w:r w:rsidRPr="00924EC7">
        <w:rPr>
          <w:i/>
          <w:iCs/>
        </w:rPr>
        <w:t xml:space="preserve">Call to Action for a Whole-of-Society Response </w:t>
      </w:r>
    </w:p>
    <w:p w14:paraId="3CCC5689" w14:textId="5B719D05" w:rsidR="00924EC7" w:rsidRDefault="005664AA" w:rsidP="00924EC7">
      <w:pPr>
        <w:pStyle w:val="ListParagraph"/>
        <w:numPr>
          <w:ilvl w:val="0"/>
          <w:numId w:val="3"/>
        </w:numPr>
        <w:spacing w:after="0" w:line="240" w:lineRule="auto"/>
        <w:ind w:left="360"/>
        <w:rPr>
          <w:i/>
          <w:iCs/>
        </w:rPr>
      </w:pPr>
      <w:r w:rsidRPr="00924EC7">
        <w:rPr>
          <w:i/>
          <w:iCs/>
        </w:rPr>
        <w:t xml:space="preserve">State and territory governments should support nutrition and food security research at universities and colleges, including HBCUs, MSIs, and Tribal Colleges and Universities. </w:t>
      </w:r>
    </w:p>
    <w:p w14:paraId="30A1C0C7" w14:textId="77777777" w:rsidR="00924EC7" w:rsidRPr="00924EC7" w:rsidRDefault="00924EC7" w:rsidP="00924EC7">
      <w:pPr>
        <w:pStyle w:val="ListParagraph"/>
        <w:spacing w:after="0" w:line="240" w:lineRule="auto"/>
        <w:ind w:left="360"/>
        <w:rPr>
          <w:i/>
          <w:iCs/>
        </w:rPr>
      </w:pPr>
    </w:p>
    <w:p w14:paraId="2CB1D42E" w14:textId="486D64B7" w:rsidR="00924EC7" w:rsidRDefault="005664AA" w:rsidP="00924EC7">
      <w:pPr>
        <w:pStyle w:val="ListParagraph"/>
        <w:numPr>
          <w:ilvl w:val="0"/>
          <w:numId w:val="3"/>
        </w:numPr>
        <w:spacing w:after="0" w:line="240" w:lineRule="auto"/>
        <w:ind w:left="360"/>
        <w:rPr>
          <w:i/>
          <w:iCs/>
        </w:rPr>
      </w:pPr>
      <w:r w:rsidRPr="00924EC7">
        <w:rPr>
          <w:i/>
          <w:iCs/>
        </w:rPr>
        <w:t xml:space="preserve">State, local, and territory governments should enter into data sharing agreements with universities, think tanks, food retailers, and other entities to provide administrative data about the use of food banks, participation in after-school sports, or development of Tribal traditional food systems. </w:t>
      </w:r>
    </w:p>
    <w:p w14:paraId="27BD92D4" w14:textId="77777777" w:rsidR="00924EC7" w:rsidRPr="00924EC7" w:rsidRDefault="00924EC7" w:rsidP="00924EC7">
      <w:pPr>
        <w:spacing w:after="0" w:line="240" w:lineRule="auto"/>
        <w:rPr>
          <w:i/>
          <w:iCs/>
        </w:rPr>
      </w:pPr>
    </w:p>
    <w:p w14:paraId="6CC50B78" w14:textId="36ED1B83" w:rsidR="00924EC7" w:rsidRPr="00924EC7" w:rsidRDefault="005664AA" w:rsidP="00924EC7">
      <w:pPr>
        <w:pStyle w:val="ListParagraph"/>
        <w:numPr>
          <w:ilvl w:val="0"/>
          <w:numId w:val="3"/>
        </w:numPr>
        <w:spacing w:after="0" w:line="240" w:lineRule="auto"/>
        <w:ind w:left="360"/>
        <w:rPr>
          <w:i/>
          <w:iCs/>
        </w:rPr>
      </w:pPr>
      <w:r w:rsidRPr="00924EC7">
        <w:rPr>
          <w:i/>
          <w:iCs/>
        </w:rPr>
        <w:t xml:space="preserve">State, local, and territory governments should invest in programs building the pipeline of researchers, particularly from communities of color, rural communities, and people with disabilities. </w:t>
      </w:r>
    </w:p>
    <w:p w14:paraId="3152C53A" w14:textId="77777777" w:rsidR="00924EC7" w:rsidRDefault="00924EC7" w:rsidP="00924EC7">
      <w:pPr>
        <w:pStyle w:val="ListParagraph"/>
        <w:spacing w:after="0" w:line="240" w:lineRule="auto"/>
        <w:ind w:left="360"/>
        <w:rPr>
          <w:i/>
          <w:iCs/>
        </w:rPr>
      </w:pPr>
    </w:p>
    <w:p w14:paraId="17AFC17C" w14:textId="446D5496" w:rsidR="005664AA" w:rsidRPr="00924EC7" w:rsidRDefault="005664AA" w:rsidP="00924EC7">
      <w:pPr>
        <w:pStyle w:val="ListParagraph"/>
        <w:numPr>
          <w:ilvl w:val="0"/>
          <w:numId w:val="3"/>
        </w:numPr>
        <w:spacing w:after="0" w:line="240" w:lineRule="auto"/>
        <w:ind w:left="360"/>
        <w:rPr>
          <w:i/>
          <w:iCs/>
        </w:rPr>
      </w:pPr>
      <w:r w:rsidRPr="00924EC7">
        <w:rPr>
          <w:i/>
          <w:iCs/>
        </w:rPr>
        <w:t>Universities, colleges, and academic medical centers should bolster hunger, nutrition, and physical activity research and data collection disaggregated by factors, including race, ethnicity, and other demographic and social factors</w:t>
      </w:r>
    </w:p>
    <w:p w14:paraId="71DEAE7E" w14:textId="77777777" w:rsidR="00924EC7" w:rsidRDefault="00924EC7" w:rsidP="00924EC7">
      <w:pPr>
        <w:pStyle w:val="ListParagraph"/>
        <w:spacing w:after="0" w:line="240" w:lineRule="auto"/>
        <w:ind w:left="360"/>
        <w:rPr>
          <w:i/>
          <w:iCs/>
        </w:rPr>
      </w:pPr>
    </w:p>
    <w:p w14:paraId="2266A296" w14:textId="4F650787" w:rsidR="00924EC7" w:rsidRPr="00924EC7" w:rsidRDefault="005664AA" w:rsidP="00924EC7">
      <w:pPr>
        <w:pStyle w:val="ListParagraph"/>
        <w:numPr>
          <w:ilvl w:val="0"/>
          <w:numId w:val="3"/>
        </w:numPr>
        <w:spacing w:after="0" w:line="240" w:lineRule="auto"/>
        <w:ind w:left="360"/>
        <w:rPr>
          <w:i/>
          <w:iCs/>
        </w:rPr>
      </w:pPr>
      <w:r w:rsidRPr="00924EC7">
        <w:rPr>
          <w:i/>
          <w:iCs/>
        </w:rPr>
        <w:t xml:space="preserve">Philanthropy should support research studies and efforts to bolster and diversify the nutrition science pipeline. </w:t>
      </w:r>
    </w:p>
    <w:p w14:paraId="4CEA9813" w14:textId="77777777" w:rsidR="00924EC7" w:rsidRDefault="00924EC7" w:rsidP="00924EC7">
      <w:pPr>
        <w:pStyle w:val="ListParagraph"/>
        <w:spacing w:after="0" w:line="240" w:lineRule="auto"/>
        <w:ind w:left="360"/>
        <w:rPr>
          <w:i/>
          <w:iCs/>
        </w:rPr>
      </w:pPr>
    </w:p>
    <w:p w14:paraId="056D2FEA" w14:textId="06D8F98F" w:rsidR="005664AA" w:rsidRPr="00924EC7" w:rsidRDefault="005664AA" w:rsidP="00924EC7">
      <w:pPr>
        <w:pStyle w:val="ListParagraph"/>
        <w:numPr>
          <w:ilvl w:val="0"/>
          <w:numId w:val="3"/>
        </w:numPr>
        <w:spacing w:after="0" w:line="240" w:lineRule="auto"/>
        <w:ind w:left="360"/>
        <w:rPr>
          <w:i/>
          <w:iCs/>
        </w:rPr>
      </w:pPr>
      <w:r w:rsidRPr="00924EC7">
        <w:rPr>
          <w:i/>
          <w:iCs/>
        </w:rPr>
        <w:t>The private sector should invest in robust research and development focused on nutrition, equity, and health, including research on the microbiome, immunity, diabetes, and other chronic diseases and underserved populations.</w:t>
      </w:r>
    </w:p>
    <w:sectPr w:rsidR="005664AA" w:rsidRPr="00924EC7" w:rsidSect="00924EC7">
      <w:footerReference w:type="default" r:id="rId8"/>
      <w:pgSz w:w="12240" w:h="15840" w:code="1"/>
      <w:pgMar w:top="720" w:right="1440"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75CA" w14:textId="77777777" w:rsidR="00383195" w:rsidRDefault="00383195" w:rsidP="00924EC7">
      <w:pPr>
        <w:spacing w:after="0" w:line="240" w:lineRule="auto"/>
      </w:pPr>
      <w:r>
        <w:separator/>
      </w:r>
    </w:p>
  </w:endnote>
  <w:endnote w:type="continuationSeparator" w:id="0">
    <w:p w14:paraId="5333D595" w14:textId="77777777" w:rsidR="00383195" w:rsidRDefault="00383195" w:rsidP="0092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D461" w14:textId="77777777" w:rsidR="00924EC7" w:rsidRPr="00924EC7" w:rsidRDefault="00924EC7">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0"/>
        <w:szCs w:val="20"/>
      </w:rPr>
    </w:pPr>
    <w:r w:rsidRPr="00924EC7">
      <w:rPr>
        <w:rFonts w:asciiTheme="majorHAnsi" w:eastAsiaTheme="majorEastAsia" w:hAnsiTheme="majorHAnsi" w:cstheme="majorBidi"/>
        <w:color w:val="2F5496" w:themeColor="accent1" w:themeShade="BF"/>
        <w:sz w:val="20"/>
        <w:szCs w:val="20"/>
      </w:rPr>
      <w:fldChar w:fldCharType="begin"/>
    </w:r>
    <w:r w:rsidRPr="00924EC7">
      <w:rPr>
        <w:rFonts w:asciiTheme="majorHAnsi" w:eastAsiaTheme="majorEastAsia" w:hAnsiTheme="majorHAnsi" w:cstheme="majorBidi"/>
        <w:color w:val="2F5496" w:themeColor="accent1" w:themeShade="BF"/>
        <w:sz w:val="20"/>
        <w:szCs w:val="20"/>
      </w:rPr>
      <w:instrText xml:space="preserve"> PAGE   \* MERGEFORMAT </w:instrText>
    </w:r>
    <w:r w:rsidRPr="00924EC7">
      <w:rPr>
        <w:rFonts w:asciiTheme="majorHAnsi" w:eastAsiaTheme="majorEastAsia" w:hAnsiTheme="majorHAnsi" w:cstheme="majorBidi"/>
        <w:color w:val="2F5496" w:themeColor="accent1" w:themeShade="BF"/>
        <w:sz w:val="20"/>
        <w:szCs w:val="20"/>
      </w:rPr>
      <w:fldChar w:fldCharType="separate"/>
    </w:r>
    <w:r w:rsidRPr="00924EC7">
      <w:rPr>
        <w:rFonts w:asciiTheme="majorHAnsi" w:eastAsiaTheme="majorEastAsia" w:hAnsiTheme="majorHAnsi" w:cstheme="majorBidi"/>
        <w:noProof/>
        <w:color w:val="2F5496" w:themeColor="accent1" w:themeShade="BF"/>
        <w:sz w:val="20"/>
        <w:szCs w:val="20"/>
      </w:rPr>
      <w:t>2</w:t>
    </w:r>
    <w:r w:rsidRPr="00924EC7">
      <w:rPr>
        <w:rFonts w:asciiTheme="majorHAnsi" w:eastAsiaTheme="majorEastAsia" w:hAnsiTheme="majorHAnsi" w:cstheme="majorBidi"/>
        <w:noProof/>
        <w:color w:val="2F5496" w:themeColor="accent1" w:themeShade="BF"/>
        <w:sz w:val="20"/>
        <w:szCs w:val="20"/>
      </w:rPr>
      <w:fldChar w:fldCharType="end"/>
    </w:r>
  </w:p>
  <w:p w14:paraId="76122224" w14:textId="77777777" w:rsidR="00924EC7" w:rsidRDefault="0092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66D0" w14:textId="77777777" w:rsidR="00383195" w:rsidRDefault="00383195" w:rsidP="00924EC7">
      <w:pPr>
        <w:spacing w:after="0" w:line="240" w:lineRule="auto"/>
      </w:pPr>
      <w:r>
        <w:separator/>
      </w:r>
    </w:p>
  </w:footnote>
  <w:footnote w:type="continuationSeparator" w:id="0">
    <w:p w14:paraId="20BC3BC0" w14:textId="77777777" w:rsidR="00383195" w:rsidRDefault="00383195" w:rsidP="00924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B005F"/>
    <w:multiLevelType w:val="hybridMultilevel"/>
    <w:tmpl w:val="FDC40166"/>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913D9"/>
    <w:multiLevelType w:val="hybridMultilevel"/>
    <w:tmpl w:val="24CC2B1C"/>
    <w:lvl w:ilvl="0" w:tplc="A9048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F1820"/>
    <w:multiLevelType w:val="hybridMultilevel"/>
    <w:tmpl w:val="6FA8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161818">
    <w:abstractNumId w:val="2"/>
  </w:num>
  <w:num w:numId="2" w16cid:durableId="1490363723">
    <w:abstractNumId w:val="0"/>
  </w:num>
  <w:num w:numId="3" w16cid:durableId="1531525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AA"/>
    <w:rsid w:val="00001FE7"/>
    <w:rsid w:val="0021587B"/>
    <w:rsid w:val="002F5706"/>
    <w:rsid w:val="002F79B5"/>
    <w:rsid w:val="003469E3"/>
    <w:rsid w:val="00383195"/>
    <w:rsid w:val="00474DC6"/>
    <w:rsid w:val="004D28FB"/>
    <w:rsid w:val="005664AA"/>
    <w:rsid w:val="00572BAD"/>
    <w:rsid w:val="00590231"/>
    <w:rsid w:val="005A7A6B"/>
    <w:rsid w:val="00675704"/>
    <w:rsid w:val="00695132"/>
    <w:rsid w:val="008D3BC2"/>
    <w:rsid w:val="00924EC7"/>
    <w:rsid w:val="009D59E9"/>
    <w:rsid w:val="00BA42D3"/>
    <w:rsid w:val="00BA4E2B"/>
    <w:rsid w:val="00C10D25"/>
    <w:rsid w:val="00C3564E"/>
    <w:rsid w:val="00FA036A"/>
    <w:rsid w:val="00FA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CCA6"/>
  <w15:chartTrackingRefBased/>
  <w15:docId w15:val="{A092D986-700B-43AA-8664-42B1B229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A6B"/>
    <w:pPr>
      <w:ind w:left="720"/>
      <w:contextualSpacing/>
    </w:pPr>
  </w:style>
  <w:style w:type="paragraph" w:styleId="Header">
    <w:name w:val="header"/>
    <w:basedOn w:val="Normal"/>
    <w:link w:val="HeaderChar"/>
    <w:uiPriority w:val="99"/>
    <w:unhideWhenUsed/>
    <w:rsid w:val="00924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C7"/>
  </w:style>
  <w:style w:type="paragraph" w:styleId="Footer">
    <w:name w:val="footer"/>
    <w:basedOn w:val="Normal"/>
    <w:link w:val="FooterChar"/>
    <w:uiPriority w:val="99"/>
    <w:unhideWhenUsed/>
    <w:rsid w:val="00924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C7"/>
  </w:style>
  <w:style w:type="character" w:styleId="Hyperlink">
    <w:name w:val="Hyperlink"/>
    <w:basedOn w:val="DefaultParagraphFont"/>
    <w:uiPriority w:val="99"/>
    <w:unhideWhenUsed/>
    <w:rsid w:val="008D3BC2"/>
    <w:rPr>
      <w:color w:val="0563C1" w:themeColor="hyperlink"/>
      <w:u w:val="single"/>
    </w:rPr>
  </w:style>
  <w:style w:type="character" w:styleId="UnresolvedMention">
    <w:name w:val="Unresolved Mention"/>
    <w:basedOn w:val="DefaultParagraphFont"/>
    <w:uiPriority w:val="99"/>
    <w:semiHidden/>
    <w:unhideWhenUsed/>
    <w:rsid w:val="008D3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itehouse.gov/wp-content/uploads/2022/09/White-House-National-Strategy-on-Hunger-Nutrition-and-Health-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Galic</dc:creator>
  <cp:keywords/>
  <dc:description/>
  <cp:lastModifiedBy>Mara  Galic</cp:lastModifiedBy>
  <cp:revision>3</cp:revision>
  <dcterms:created xsi:type="dcterms:W3CDTF">2023-08-10T09:54:00Z</dcterms:created>
  <dcterms:modified xsi:type="dcterms:W3CDTF">2023-08-10T09:58:00Z</dcterms:modified>
</cp:coreProperties>
</file>