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E7FE" w14:textId="486C4870" w:rsidR="00BA4E2B" w:rsidRPr="00924EC7" w:rsidRDefault="00BA4E2B" w:rsidP="005A7A6B">
      <w:pPr>
        <w:spacing w:after="0" w:line="240" w:lineRule="auto"/>
        <w:jc w:val="center"/>
        <w:rPr>
          <w:b/>
          <w:bCs/>
          <w:i/>
          <w:iCs/>
          <w:color w:val="4472C4" w:themeColor="accent1"/>
          <w:sz w:val="32"/>
          <w:szCs w:val="32"/>
        </w:rPr>
      </w:pPr>
      <w:r w:rsidRPr="00924EC7">
        <w:rPr>
          <w:b/>
          <w:bCs/>
          <w:i/>
          <w:iCs/>
          <w:color w:val="4472C4" w:themeColor="accent1"/>
          <w:sz w:val="32"/>
          <w:szCs w:val="32"/>
        </w:rPr>
        <w:t>Biden- Harris Administration</w:t>
      </w:r>
    </w:p>
    <w:p w14:paraId="06EDAA9A" w14:textId="7D23D5C3" w:rsidR="00BA4E2B" w:rsidRPr="00924EC7" w:rsidRDefault="00BA4E2B" w:rsidP="005A7A6B">
      <w:pPr>
        <w:spacing w:after="0" w:line="240" w:lineRule="auto"/>
        <w:jc w:val="center"/>
        <w:rPr>
          <w:b/>
          <w:bCs/>
          <w:i/>
          <w:iCs/>
          <w:color w:val="4472C4" w:themeColor="accent1"/>
          <w:sz w:val="32"/>
          <w:szCs w:val="32"/>
        </w:rPr>
      </w:pPr>
      <w:r w:rsidRPr="00924EC7">
        <w:rPr>
          <w:b/>
          <w:bCs/>
          <w:i/>
          <w:iCs/>
          <w:color w:val="4472C4" w:themeColor="accent1"/>
          <w:sz w:val="32"/>
          <w:szCs w:val="32"/>
        </w:rPr>
        <w:t>National Strategy on Hunger, Nutrition and Health</w:t>
      </w:r>
    </w:p>
    <w:p w14:paraId="352D352B" w14:textId="49C8D88D" w:rsidR="00BA4E2B" w:rsidRDefault="00BA4E2B" w:rsidP="005A7A6B">
      <w:pPr>
        <w:spacing w:after="0" w:line="240" w:lineRule="auto"/>
        <w:jc w:val="center"/>
        <w:rPr>
          <w:b/>
          <w:bCs/>
          <w:sz w:val="32"/>
          <w:szCs w:val="32"/>
        </w:rPr>
      </w:pPr>
      <w:r w:rsidRPr="00924EC7">
        <w:rPr>
          <w:b/>
          <w:bCs/>
          <w:sz w:val="32"/>
          <w:szCs w:val="32"/>
        </w:rPr>
        <w:t>Call to Action for a Whole of Society Response by Pillar</w:t>
      </w:r>
    </w:p>
    <w:p w14:paraId="4966E758" w14:textId="37E68E74" w:rsidR="008D3BC2" w:rsidRPr="008D3BC2" w:rsidRDefault="008D3BC2" w:rsidP="005A7A6B">
      <w:pPr>
        <w:spacing w:after="0" w:line="240" w:lineRule="auto"/>
        <w:jc w:val="center"/>
        <w:rPr>
          <w:b/>
          <w:bCs/>
          <w:i/>
          <w:iCs/>
          <w:sz w:val="24"/>
          <w:szCs w:val="24"/>
        </w:rPr>
      </w:pPr>
      <w:r w:rsidRPr="008D3BC2">
        <w:rPr>
          <w:b/>
          <w:bCs/>
          <w:i/>
          <w:iCs/>
          <w:sz w:val="32"/>
          <w:szCs w:val="32"/>
        </w:rPr>
        <w:t xml:space="preserve">Access the </w:t>
      </w:r>
      <w:hyperlink r:id="rId7" w:history="1">
        <w:r w:rsidRPr="008D3BC2">
          <w:rPr>
            <w:rStyle w:val="Hyperlink"/>
            <w:b/>
            <w:bCs/>
            <w:i/>
            <w:iCs/>
            <w:sz w:val="32"/>
            <w:szCs w:val="32"/>
          </w:rPr>
          <w:t>Full Report</w:t>
        </w:r>
      </w:hyperlink>
    </w:p>
    <w:p w14:paraId="5E596763" w14:textId="77777777" w:rsidR="005A7A6B" w:rsidRPr="008D3BC2" w:rsidRDefault="005A7A6B">
      <w:pPr>
        <w:rPr>
          <w:i/>
          <w:iCs/>
        </w:rPr>
      </w:pPr>
    </w:p>
    <w:p w14:paraId="62FE572A" w14:textId="5262C378" w:rsidR="005664AA" w:rsidRDefault="005664AA" w:rsidP="005664AA"/>
    <w:p w14:paraId="31F1AAEF" w14:textId="2D482FD4" w:rsidR="005664AA" w:rsidRDefault="005664AA" w:rsidP="005A7A6B">
      <w:pPr>
        <w:spacing w:after="0" w:line="240" w:lineRule="auto"/>
        <w:rPr>
          <w:sz w:val="24"/>
          <w:szCs w:val="24"/>
        </w:rPr>
      </w:pPr>
      <w:r w:rsidRPr="005A7A6B">
        <w:rPr>
          <w:b/>
          <w:bCs/>
          <w:sz w:val="28"/>
          <w:szCs w:val="28"/>
        </w:rPr>
        <w:t>Pillar 4—Support Physical Activity for All</w:t>
      </w:r>
      <w:r w:rsidR="005A7A6B">
        <w:br/>
      </w:r>
      <w:r w:rsidRPr="005A7A6B">
        <w:rPr>
          <w:sz w:val="24"/>
          <w:szCs w:val="24"/>
        </w:rPr>
        <w:t>Make it easier for people to be more physically active—in part by ensuring that everyone has access to safe places to be active—</w:t>
      </w:r>
      <w:proofErr w:type="gramStart"/>
      <w:r w:rsidRPr="005A7A6B">
        <w:rPr>
          <w:sz w:val="24"/>
          <w:szCs w:val="24"/>
        </w:rPr>
        <w:t>increase</w:t>
      </w:r>
      <w:proofErr w:type="gramEnd"/>
      <w:r w:rsidRPr="005A7A6B">
        <w:rPr>
          <w:sz w:val="24"/>
          <w:szCs w:val="24"/>
        </w:rPr>
        <w:t xml:space="preserve"> awareness of the benefits of physical activity, and conduct research on and measure physical activity</w:t>
      </w:r>
    </w:p>
    <w:p w14:paraId="455FA318" w14:textId="77777777" w:rsidR="005A7A6B" w:rsidRPr="005A7A6B" w:rsidRDefault="005A7A6B" w:rsidP="005A7A6B">
      <w:pPr>
        <w:spacing w:after="0" w:line="240" w:lineRule="auto"/>
        <w:rPr>
          <w:sz w:val="24"/>
          <w:szCs w:val="24"/>
        </w:rPr>
      </w:pPr>
    </w:p>
    <w:p w14:paraId="08A1799D" w14:textId="77777777" w:rsidR="005A7A6B" w:rsidRPr="00924EC7" w:rsidRDefault="005664AA" w:rsidP="005664AA">
      <w:pPr>
        <w:rPr>
          <w:i/>
          <w:iCs/>
        </w:rPr>
      </w:pPr>
      <w:r w:rsidRPr="00924EC7">
        <w:rPr>
          <w:i/>
          <w:iCs/>
        </w:rPr>
        <w:t xml:space="preserve">Call to Action for a Whole-of-Society Response </w:t>
      </w:r>
    </w:p>
    <w:p w14:paraId="19E61E94" w14:textId="4401A70D" w:rsidR="005A7A6B" w:rsidRDefault="005664AA" w:rsidP="00924EC7">
      <w:pPr>
        <w:pStyle w:val="ListParagraph"/>
        <w:numPr>
          <w:ilvl w:val="0"/>
          <w:numId w:val="2"/>
        </w:numPr>
        <w:spacing w:after="0" w:line="240" w:lineRule="auto"/>
        <w:ind w:left="360"/>
        <w:rPr>
          <w:i/>
          <w:iCs/>
        </w:rPr>
      </w:pPr>
      <w:r w:rsidRPr="00924EC7">
        <w:rPr>
          <w:i/>
          <w:iCs/>
        </w:rPr>
        <w:t xml:space="preserve">State, local, and territory governments should adopt jurisdiction-wide plans and proclamations to promote CDC’s Active People, Healthy Nation as well as adopt and implement Complete Streets policies and Safe Routes to School programs. </w:t>
      </w:r>
    </w:p>
    <w:p w14:paraId="0E72820E" w14:textId="77777777" w:rsidR="00924EC7" w:rsidRPr="00924EC7" w:rsidRDefault="00924EC7" w:rsidP="00924EC7">
      <w:pPr>
        <w:pStyle w:val="ListParagraph"/>
        <w:spacing w:after="0" w:line="240" w:lineRule="auto"/>
        <w:ind w:left="360"/>
        <w:rPr>
          <w:i/>
          <w:iCs/>
        </w:rPr>
      </w:pPr>
    </w:p>
    <w:p w14:paraId="0191482B" w14:textId="77777777" w:rsidR="00924EC7" w:rsidRDefault="005664AA" w:rsidP="00924EC7">
      <w:pPr>
        <w:pStyle w:val="ListParagraph"/>
        <w:numPr>
          <w:ilvl w:val="0"/>
          <w:numId w:val="2"/>
        </w:numPr>
        <w:spacing w:after="0" w:line="240" w:lineRule="auto"/>
        <w:ind w:left="360"/>
        <w:rPr>
          <w:i/>
          <w:iCs/>
        </w:rPr>
      </w:pPr>
      <w:r w:rsidRPr="00924EC7">
        <w:rPr>
          <w:i/>
          <w:iCs/>
        </w:rPr>
        <w:t xml:space="preserve">State governments should offer free passes for children and/or families to state parks. • State, local, and territory governments should increase accessibility for community members with disabilities to exercise at local parks or workout facilities. </w:t>
      </w:r>
    </w:p>
    <w:p w14:paraId="3D8A49BA" w14:textId="77777777" w:rsidR="00924EC7" w:rsidRPr="00924EC7" w:rsidRDefault="00924EC7" w:rsidP="00924EC7">
      <w:pPr>
        <w:pStyle w:val="ListParagraph"/>
        <w:spacing w:after="0" w:line="240" w:lineRule="auto"/>
        <w:rPr>
          <w:i/>
          <w:iCs/>
        </w:rPr>
      </w:pPr>
    </w:p>
    <w:p w14:paraId="5CE402DF" w14:textId="1A6A782E" w:rsidR="005A7A6B" w:rsidRPr="00924EC7" w:rsidRDefault="005664AA" w:rsidP="00924EC7">
      <w:pPr>
        <w:pStyle w:val="ListParagraph"/>
        <w:numPr>
          <w:ilvl w:val="0"/>
          <w:numId w:val="2"/>
        </w:numPr>
        <w:spacing w:after="0" w:line="240" w:lineRule="auto"/>
        <w:ind w:left="360"/>
        <w:rPr>
          <w:i/>
          <w:iCs/>
        </w:rPr>
      </w:pPr>
      <w:r w:rsidRPr="00924EC7">
        <w:rPr>
          <w:i/>
          <w:iCs/>
        </w:rPr>
        <w:t xml:space="preserve">State governments should consider establishing and monitoring implementation of more rigorous physical education requirements in schools to meet or exceed the Physical Activity Guidelines for Americans’ recommendations for children and adolescents. </w:t>
      </w:r>
    </w:p>
    <w:p w14:paraId="3B90A5F9" w14:textId="77777777" w:rsidR="00924EC7" w:rsidRDefault="00924EC7" w:rsidP="00924EC7">
      <w:pPr>
        <w:pStyle w:val="ListParagraph"/>
        <w:spacing w:after="0" w:line="240" w:lineRule="auto"/>
        <w:ind w:left="360"/>
        <w:rPr>
          <w:i/>
          <w:iCs/>
        </w:rPr>
      </w:pPr>
    </w:p>
    <w:p w14:paraId="1F6453E3" w14:textId="5DBD2065" w:rsidR="00924EC7" w:rsidRPr="00924EC7" w:rsidRDefault="005664AA" w:rsidP="00924EC7">
      <w:pPr>
        <w:pStyle w:val="ListParagraph"/>
        <w:numPr>
          <w:ilvl w:val="0"/>
          <w:numId w:val="2"/>
        </w:numPr>
        <w:spacing w:after="0" w:line="240" w:lineRule="auto"/>
        <w:ind w:left="360"/>
        <w:rPr>
          <w:i/>
          <w:iCs/>
        </w:rPr>
      </w:pPr>
      <w:proofErr w:type="gramStart"/>
      <w:r w:rsidRPr="00924EC7">
        <w:rPr>
          <w:i/>
          <w:iCs/>
        </w:rPr>
        <w:t>Correctional facilities</w:t>
      </w:r>
      <w:proofErr w:type="gramEnd"/>
      <w:r w:rsidRPr="00924EC7">
        <w:rPr>
          <w:i/>
          <w:iCs/>
        </w:rPr>
        <w:t xml:space="preserve"> should provide opportunities for exercise for persons in custody. </w:t>
      </w:r>
    </w:p>
    <w:p w14:paraId="160FF9E2" w14:textId="77777777" w:rsidR="00924EC7" w:rsidRDefault="00924EC7" w:rsidP="00924EC7">
      <w:pPr>
        <w:pStyle w:val="ListParagraph"/>
        <w:spacing w:after="0" w:line="240" w:lineRule="auto"/>
        <w:ind w:left="360"/>
        <w:rPr>
          <w:i/>
          <w:iCs/>
        </w:rPr>
      </w:pPr>
    </w:p>
    <w:p w14:paraId="11567315" w14:textId="373C0EC9" w:rsidR="00924EC7" w:rsidRPr="00924EC7" w:rsidRDefault="005664AA" w:rsidP="00924EC7">
      <w:pPr>
        <w:pStyle w:val="ListParagraph"/>
        <w:numPr>
          <w:ilvl w:val="0"/>
          <w:numId w:val="2"/>
        </w:numPr>
        <w:spacing w:after="0" w:line="240" w:lineRule="auto"/>
        <w:ind w:left="360"/>
        <w:rPr>
          <w:i/>
          <w:iCs/>
        </w:rPr>
      </w:pPr>
      <w:r w:rsidRPr="00924EC7">
        <w:rPr>
          <w:i/>
          <w:iCs/>
        </w:rPr>
        <w:t xml:space="preserve">Employers should encourage physical activity in the workplace, including by promoting the use of stairs instead of elevators and active modes of transportation to work, and by providing access to spaces to be physically active at work. </w:t>
      </w:r>
    </w:p>
    <w:p w14:paraId="4888D239" w14:textId="77777777" w:rsidR="00924EC7" w:rsidRDefault="00924EC7" w:rsidP="00924EC7">
      <w:pPr>
        <w:pStyle w:val="ListParagraph"/>
        <w:spacing w:after="0" w:line="240" w:lineRule="auto"/>
        <w:ind w:left="360"/>
        <w:rPr>
          <w:i/>
          <w:iCs/>
        </w:rPr>
      </w:pPr>
    </w:p>
    <w:p w14:paraId="355A755E" w14:textId="7DF203CD" w:rsidR="005664AA" w:rsidRPr="00924EC7" w:rsidRDefault="005664AA" w:rsidP="00924EC7">
      <w:pPr>
        <w:pStyle w:val="ListParagraph"/>
        <w:numPr>
          <w:ilvl w:val="0"/>
          <w:numId w:val="2"/>
        </w:numPr>
        <w:spacing w:after="0" w:line="240" w:lineRule="auto"/>
        <w:ind w:left="360"/>
        <w:rPr>
          <w:i/>
          <w:iCs/>
        </w:rPr>
      </w:pPr>
      <w:r w:rsidRPr="00924EC7">
        <w:rPr>
          <w:i/>
          <w:iCs/>
        </w:rPr>
        <w:t>City bike share companies should subsidize their membership costs for individuals with lower incomes. • The private sector should invest in building parks and safe sidewalks in underserved neighborhoods</w:t>
      </w:r>
    </w:p>
    <w:p w14:paraId="0E5EB48F" w14:textId="77777777" w:rsidR="00924EC7" w:rsidRDefault="00924EC7" w:rsidP="00924EC7">
      <w:pPr>
        <w:pStyle w:val="ListParagraph"/>
        <w:spacing w:after="0" w:line="240" w:lineRule="auto"/>
        <w:ind w:left="360"/>
        <w:rPr>
          <w:i/>
          <w:iCs/>
        </w:rPr>
      </w:pPr>
    </w:p>
    <w:p w14:paraId="4C6325D2" w14:textId="0B81D1EA" w:rsidR="005664AA" w:rsidRPr="00924EC7" w:rsidRDefault="005664AA" w:rsidP="00924EC7">
      <w:pPr>
        <w:pStyle w:val="ListParagraph"/>
        <w:numPr>
          <w:ilvl w:val="0"/>
          <w:numId w:val="3"/>
        </w:numPr>
        <w:spacing w:after="0" w:line="240" w:lineRule="auto"/>
        <w:ind w:left="360"/>
        <w:rPr>
          <w:i/>
          <w:iCs/>
        </w:rPr>
      </w:pPr>
      <w:r w:rsidRPr="00924EC7">
        <w:rPr>
          <w:i/>
          <w:iCs/>
        </w:rPr>
        <w:t>The private sector, non-profits, and local governments should work together to create shareduse agreements to make open spaces, sports facilities, and fields open to school</w:t>
      </w:r>
    </w:p>
    <w:p w14:paraId="58E1FB1A" w14:textId="232FCF1A" w:rsidR="005664AA" w:rsidRDefault="005664AA" w:rsidP="005664AA"/>
    <w:p w14:paraId="127E1F42" w14:textId="36921165" w:rsidR="00924EC7" w:rsidRDefault="00924EC7">
      <w:pPr>
        <w:rPr>
          <w:b/>
          <w:bCs/>
          <w:sz w:val="28"/>
          <w:szCs w:val="28"/>
        </w:rPr>
      </w:pPr>
    </w:p>
    <w:sectPr w:rsidR="00924EC7" w:rsidSect="00924EC7">
      <w:footerReference w:type="default" r:id="rId8"/>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8227" w14:textId="77777777" w:rsidR="00DE3AA3" w:rsidRDefault="00DE3AA3" w:rsidP="00924EC7">
      <w:pPr>
        <w:spacing w:after="0" w:line="240" w:lineRule="auto"/>
      </w:pPr>
      <w:r>
        <w:separator/>
      </w:r>
    </w:p>
  </w:endnote>
  <w:endnote w:type="continuationSeparator" w:id="0">
    <w:p w14:paraId="4F98081C" w14:textId="77777777" w:rsidR="00DE3AA3" w:rsidRDefault="00DE3AA3" w:rsidP="0092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D461" w14:textId="77777777" w:rsidR="00924EC7" w:rsidRPr="00924EC7" w:rsidRDefault="00924EC7">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0"/>
        <w:szCs w:val="20"/>
      </w:rPr>
    </w:pPr>
    <w:r w:rsidRPr="00924EC7">
      <w:rPr>
        <w:rFonts w:asciiTheme="majorHAnsi" w:eastAsiaTheme="majorEastAsia" w:hAnsiTheme="majorHAnsi" w:cstheme="majorBidi"/>
        <w:color w:val="2F5496" w:themeColor="accent1" w:themeShade="BF"/>
        <w:sz w:val="20"/>
        <w:szCs w:val="20"/>
      </w:rPr>
      <w:fldChar w:fldCharType="begin"/>
    </w:r>
    <w:r w:rsidRPr="00924EC7">
      <w:rPr>
        <w:rFonts w:asciiTheme="majorHAnsi" w:eastAsiaTheme="majorEastAsia" w:hAnsiTheme="majorHAnsi" w:cstheme="majorBidi"/>
        <w:color w:val="2F5496" w:themeColor="accent1" w:themeShade="BF"/>
        <w:sz w:val="20"/>
        <w:szCs w:val="20"/>
      </w:rPr>
      <w:instrText xml:space="preserve"> PAGE   \* MERGEFORMAT </w:instrText>
    </w:r>
    <w:r w:rsidRPr="00924EC7">
      <w:rPr>
        <w:rFonts w:asciiTheme="majorHAnsi" w:eastAsiaTheme="majorEastAsia" w:hAnsiTheme="majorHAnsi" w:cstheme="majorBidi"/>
        <w:color w:val="2F5496" w:themeColor="accent1" w:themeShade="BF"/>
        <w:sz w:val="20"/>
        <w:szCs w:val="20"/>
      </w:rPr>
      <w:fldChar w:fldCharType="separate"/>
    </w:r>
    <w:r w:rsidRPr="00924EC7">
      <w:rPr>
        <w:rFonts w:asciiTheme="majorHAnsi" w:eastAsiaTheme="majorEastAsia" w:hAnsiTheme="majorHAnsi" w:cstheme="majorBidi"/>
        <w:noProof/>
        <w:color w:val="2F5496" w:themeColor="accent1" w:themeShade="BF"/>
        <w:sz w:val="20"/>
        <w:szCs w:val="20"/>
      </w:rPr>
      <w:t>2</w:t>
    </w:r>
    <w:r w:rsidRPr="00924EC7">
      <w:rPr>
        <w:rFonts w:asciiTheme="majorHAnsi" w:eastAsiaTheme="majorEastAsia" w:hAnsiTheme="majorHAnsi" w:cstheme="majorBidi"/>
        <w:noProof/>
        <w:color w:val="2F5496" w:themeColor="accent1" w:themeShade="BF"/>
        <w:sz w:val="20"/>
        <w:szCs w:val="20"/>
      </w:rPr>
      <w:fldChar w:fldCharType="end"/>
    </w:r>
  </w:p>
  <w:p w14:paraId="76122224" w14:textId="77777777" w:rsidR="00924EC7" w:rsidRDefault="00924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2B8F" w14:textId="77777777" w:rsidR="00DE3AA3" w:rsidRDefault="00DE3AA3" w:rsidP="00924EC7">
      <w:pPr>
        <w:spacing w:after="0" w:line="240" w:lineRule="auto"/>
      </w:pPr>
      <w:r>
        <w:separator/>
      </w:r>
    </w:p>
  </w:footnote>
  <w:footnote w:type="continuationSeparator" w:id="0">
    <w:p w14:paraId="403580BB" w14:textId="77777777" w:rsidR="00DE3AA3" w:rsidRDefault="00DE3AA3" w:rsidP="00924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B005F"/>
    <w:multiLevelType w:val="hybridMultilevel"/>
    <w:tmpl w:val="FDC40166"/>
    <w:lvl w:ilvl="0" w:tplc="A9048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913D9"/>
    <w:multiLevelType w:val="hybridMultilevel"/>
    <w:tmpl w:val="24CC2B1C"/>
    <w:lvl w:ilvl="0" w:tplc="A9048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F1820"/>
    <w:multiLevelType w:val="hybridMultilevel"/>
    <w:tmpl w:val="6FA8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161818">
    <w:abstractNumId w:val="2"/>
  </w:num>
  <w:num w:numId="2" w16cid:durableId="1490363723">
    <w:abstractNumId w:val="0"/>
  </w:num>
  <w:num w:numId="3" w16cid:durableId="1531525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AA"/>
    <w:rsid w:val="00001FE7"/>
    <w:rsid w:val="0021587B"/>
    <w:rsid w:val="002F5706"/>
    <w:rsid w:val="002F79B5"/>
    <w:rsid w:val="00474DC6"/>
    <w:rsid w:val="005664AA"/>
    <w:rsid w:val="00573A3F"/>
    <w:rsid w:val="00590231"/>
    <w:rsid w:val="005A7A6B"/>
    <w:rsid w:val="00675704"/>
    <w:rsid w:val="00695132"/>
    <w:rsid w:val="008D3BC2"/>
    <w:rsid w:val="00924EC7"/>
    <w:rsid w:val="00975884"/>
    <w:rsid w:val="009D59E9"/>
    <w:rsid w:val="00BA42D3"/>
    <w:rsid w:val="00BA4E2B"/>
    <w:rsid w:val="00C10D25"/>
    <w:rsid w:val="00C3564E"/>
    <w:rsid w:val="00C80D0A"/>
    <w:rsid w:val="00DE3AA3"/>
    <w:rsid w:val="00FA036A"/>
    <w:rsid w:val="00FA7B23"/>
    <w:rsid w:val="00FC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CCA6"/>
  <w15:chartTrackingRefBased/>
  <w15:docId w15:val="{A092D986-700B-43AA-8664-42B1B229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6B"/>
    <w:pPr>
      <w:ind w:left="720"/>
      <w:contextualSpacing/>
    </w:pPr>
  </w:style>
  <w:style w:type="paragraph" w:styleId="Header">
    <w:name w:val="header"/>
    <w:basedOn w:val="Normal"/>
    <w:link w:val="HeaderChar"/>
    <w:uiPriority w:val="99"/>
    <w:unhideWhenUsed/>
    <w:rsid w:val="0092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EC7"/>
  </w:style>
  <w:style w:type="paragraph" w:styleId="Footer">
    <w:name w:val="footer"/>
    <w:basedOn w:val="Normal"/>
    <w:link w:val="FooterChar"/>
    <w:uiPriority w:val="99"/>
    <w:unhideWhenUsed/>
    <w:rsid w:val="00924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EC7"/>
  </w:style>
  <w:style w:type="character" w:styleId="Hyperlink">
    <w:name w:val="Hyperlink"/>
    <w:basedOn w:val="DefaultParagraphFont"/>
    <w:uiPriority w:val="99"/>
    <w:unhideWhenUsed/>
    <w:rsid w:val="008D3BC2"/>
    <w:rPr>
      <w:color w:val="0563C1" w:themeColor="hyperlink"/>
      <w:u w:val="single"/>
    </w:rPr>
  </w:style>
  <w:style w:type="character" w:styleId="UnresolvedMention">
    <w:name w:val="Unresolved Mention"/>
    <w:basedOn w:val="DefaultParagraphFont"/>
    <w:uiPriority w:val="99"/>
    <w:semiHidden/>
    <w:unhideWhenUsed/>
    <w:rsid w:val="008D3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8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itehouse.gov/wp-content/uploads/2022/09/White-House-National-Strategy-on-Hunger-Nutrition-and-Health-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Galic</dc:creator>
  <cp:keywords/>
  <dc:description/>
  <cp:lastModifiedBy>Mara  Galic</cp:lastModifiedBy>
  <cp:revision>3</cp:revision>
  <dcterms:created xsi:type="dcterms:W3CDTF">2023-08-10T09:54:00Z</dcterms:created>
  <dcterms:modified xsi:type="dcterms:W3CDTF">2023-08-10T09:57:00Z</dcterms:modified>
</cp:coreProperties>
</file>