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E7FE" w14:textId="486C4870" w:rsidR="00BA4E2B" w:rsidRPr="00924EC7" w:rsidRDefault="00BA4E2B" w:rsidP="005A7A6B">
      <w:pPr>
        <w:spacing w:after="0" w:line="240" w:lineRule="auto"/>
        <w:jc w:val="center"/>
        <w:rPr>
          <w:b/>
          <w:bCs/>
          <w:i/>
          <w:iCs/>
          <w:color w:val="4472C4" w:themeColor="accent1"/>
          <w:sz w:val="32"/>
          <w:szCs w:val="32"/>
        </w:rPr>
      </w:pPr>
      <w:r w:rsidRPr="00924EC7">
        <w:rPr>
          <w:b/>
          <w:bCs/>
          <w:i/>
          <w:iCs/>
          <w:color w:val="4472C4" w:themeColor="accent1"/>
          <w:sz w:val="32"/>
          <w:szCs w:val="32"/>
        </w:rPr>
        <w:t>Biden- Harris Administration</w:t>
      </w:r>
    </w:p>
    <w:p w14:paraId="06EDAA9A" w14:textId="7D23D5C3" w:rsidR="00BA4E2B" w:rsidRPr="00924EC7" w:rsidRDefault="00BA4E2B" w:rsidP="005A7A6B">
      <w:pPr>
        <w:spacing w:after="0" w:line="240" w:lineRule="auto"/>
        <w:jc w:val="center"/>
        <w:rPr>
          <w:b/>
          <w:bCs/>
          <w:i/>
          <w:iCs/>
          <w:color w:val="4472C4" w:themeColor="accent1"/>
          <w:sz w:val="32"/>
          <w:szCs w:val="32"/>
        </w:rPr>
      </w:pPr>
      <w:r w:rsidRPr="00924EC7">
        <w:rPr>
          <w:b/>
          <w:bCs/>
          <w:i/>
          <w:iCs/>
          <w:color w:val="4472C4" w:themeColor="accent1"/>
          <w:sz w:val="32"/>
          <w:szCs w:val="32"/>
        </w:rPr>
        <w:t>National Strategy on Hunger, Nutrition and Health</w:t>
      </w:r>
    </w:p>
    <w:p w14:paraId="352D352B" w14:textId="49C8D88D" w:rsidR="00BA4E2B" w:rsidRDefault="00BA4E2B" w:rsidP="005A7A6B">
      <w:pPr>
        <w:spacing w:after="0" w:line="240" w:lineRule="auto"/>
        <w:jc w:val="center"/>
        <w:rPr>
          <w:b/>
          <w:bCs/>
          <w:sz w:val="32"/>
          <w:szCs w:val="32"/>
        </w:rPr>
      </w:pPr>
      <w:r w:rsidRPr="00924EC7">
        <w:rPr>
          <w:b/>
          <w:bCs/>
          <w:sz w:val="32"/>
          <w:szCs w:val="32"/>
        </w:rPr>
        <w:t>Call to Action for a Whole of Society Response by Pillar</w:t>
      </w:r>
    </w:p>
    <w:p w14:paraId="4966E758" w14:textId="37E68E74" w:rsidR="008D3BC2" w:rsidRPr="008D3BC2" w:rsidRDefault="008D3BC2" w:rsidP="005A7A6B">
      <w:pPr>
        <w:spacing w:after="0" w:line="240" w:lineRule="auto"/>
        <w:jc w:val="center"/>
        <w:rPr>
          <w:b/>
          <w:bCs/>
          <w:i/>
          <w:iCs/>
          <w:sz w:val="24"/>
          <w:szCs w:val="24"/>
        </w:rPr>
      </w:pPr>
      <w:r w:rsidRPr="008D3BC2">
        <w:rPr>
          <w:b/>
          <w:bCs/>
          <w:i/>
          <w:iCs/>
          <w:sz w:val="32"/>
          <w:szCs w:val="32"/>
        </w:rPr>
        <w:t xml:space="preserve">Access the </w:t>
      </w:r>
      <w:hyperlink r:id="rId7" w:history="1">
        <w:r w:rsidRPr="008D3BC2">
          <w:rPr>
            <w:rStyle w:val="Hyperlink"/>
            <w:b/>
            <w:bCs/>
            <w:i/>
            <w:iCs/>
            <w:sz w:val="32"/>
            <w:szCs w:val="32"/>
          </w:rPr>
          <w:t>Full Report</w:t>
        </w:r>
      </w:hyperlink>
    </w:p>
    <w:p w14:paraId="5E596763" w14:textId="77777777" w:rsidR="005A7A6B" w:rsidRPr="008D3BC2" w:rsidRDefault="005A7A6B">
      <w:pPr>
        <w:rPr>
          <w:i/>
          <w:iCs/>
        </w:rPr>
      </w:pPr>
    </w:p>
    <w:p w14:paraId="3521745A" w14:textId="734EAA2C" w:rsidR="005664AA" w:rsidRPr="005A7A6B" w:rsidRDefault="005664AA" w:rsidP="005664AA">
      <w:pPr>
        <w:rPr>
          <w:b/>
          <w:bCs/>
        </w:rPr>
      </w:pPr>
      <w:r w:rsidRPr="005A7A6B">
        <w:rPr>
          <w:b/>
          <w:bCs/>
          <w:sz w:val="28"/>
          <w:szCs w:val="28"/>
        </w:rPr>
        <w:t>Pillar 3—Empower All Consumers to Make and Have Access to Healthy Choices</w:t>
      </w:r>
      <w:r w:rsidR="005A7A6B">
        <w:rPr>
          <w:b/>
          <w:bCs/>
        </w:rPr>
        <w:br/>
      </w:r>
      <w:r w:rsidRPr="005A7A6B">
        <w:rPr>
          <w:b/>
          <w:bCs/>
          <w:sz w:val="24"/>
          <w:szCs w:val="24"/>
        </w:rPr>
        <w:t>Foster environments that enable all people to easily make informed, healthy choices, increase access to healthy food, encourage healthy workplace and school policies, and invest in public education campaigns that are culturally appropriate and resonate with specific communities.</w:t>
      </w:r>
    </w:p>
    <w:p w14:paraId="07A00FA3" w14:textId="77777777" w:rsidR="005A7A6B" w:rsidRPr="005A7A6B" w:rsidRDefault="005664AA" w:rsidP="005664AA">
      <w:pPr>
        <w:rPr>
          <w:i/>
          <w:iCs/>
        </w:rPr>
      </w:pPr>
      <w:r w:rsidRPr="005A7A6B">
        <w:rPr>
          <w:i/>
          <w:iCs/>
        </w:rPr>
        <w:t xml:space="preserve">Call to Action for a Whole-of-Society Response </w:t>
      </w:r>
    </w:p>
    <w:p w14:paraId="509EDBF1" w14:textId="2F205CBB" w:rsidR="005A7A6B" w:rsidRDefault="005664AA" w:rsidP="005A7A6B">
      <w:pPr>
        <w:pStyle w:val="ListParagraph"/>
        <w:numPr>
          <w:ilvl w:val="0"/>
          <w:numId w:val="2"/>
        </w:numPr>
        <w:ind w:left="360"/>
        <w:rPr>
          <w:i/>
          <w:iCs/>
        </w:rPr>
      </w:pPr>
      <w:r w:rsidRPr="005A7A6B">
        <w:rPr>
          <w:i/>
          <w:iCs/>
        </w:rPr>
        <w:t xml:space="preserve">States should provide nutrition incentives to SNAP participants to purchase healthy food such as increasing the purchasing power of SNAP beneficiaries at farmers </w:t>
      </w:r>
      <w:r w:rsidR="0021587B" w:rsidRPr="005A7A6B">
        <w:rPr>
          <w:i/>
          <w:iCs/>
        </w:rPr>
        <w:t>markets and</w:t>
      </w:r>
      <w:r w:rsidRPr="005A7A6B">
        <w:rPr>
          <w:i/>
          <w:iCs/>
        </w:rPr>
        <w:t xml:space="preserve"> encourage retailers to market more nutritious food in store and online. </w:t>
      </w:r>
    </w:p>
    <w:p w14:paraId="5E7D4D20" w14:textId="77777777" w:rsidR="005A7A6B" w:rsidRPr="005A7A6B" w:rsidRDefault="005A7A6B" w:rsidP="005A7A6B">
      <w:pPr>
        <w:pStyle w:val="ListParagraph"/>
        <w:ind w:left="360"/>
        <w:rPr>
          <w:i/>
          <w:iCs/>
        </w:rPr>
      </w:pPr>
    </w:p>
    <w:p w14:paraId="3A4338A3" w14:textId="3F39BF33" w:rsidR="005A7A6B" w:rsidRPr="005A7A6B" w:rsidRDefault="005664AA" w:rsidP="005A7A6B">
      <w:pPr>
        <w:pStyle w:val="ListParagraph"/>
        <w:numPr>
          <w:ilvl w:val="0"/>
          <w:numId w:val="2"/>
        </w:numPr>
        <w:ind w:left="360"/>
        <w:rPr>
          <w:i/>
          <w:iCs/>
        </w:rPr>
      </w:pPr>
      <w:r w:rsidRPr="005A7A6B">
        <w:rPr>
          <w:i/>
          <w:iCs/>
        </w:rPr>
        <w:t xml:space="preserve">State, local, and territory governments should adopt federal food service guidelines in their municipal buildings and advance measures to prohibit coupons or sales of unhealthy foods and beverages. </w:t>
      </w:r>
    </w:p>
    <w:p w14:paraId="33ECB0A7" w14:textId="77777777" w:rsidR="005A7A6B" w:rsidRDefault="005A7A6B" w:rsidP="005A7A6B">
      <w:pPr>
        <w:pStyle w:val="ListParagraph"/>
        <w:ind w:left="360"/>
        <w:rPr>
          <w:i/>
          <w:iCs/>
        </w:rPr>
      </w:pPr>
    </w:p>
    <w:p w14:paraId="286220D4" w14:textId="3F9531FF" w:rsidR="005A7A6B" w:rsidRPr="005A7A6B" w:rsidRDefault="005664AA" w:rsidP="005A7A6B">
      <w:pPr>
        <w:pStyle w:val="ListParagraph"/>
        <w:numPr>
          <w:ilvl w:val="0"/>
          <w:numId w:val="2"/>
        </w:numPr>
        <w:ind w:left="360"/>
        <w:rPr>
          <w:i/>
          <w:iCs/>
        </w:rPr>
      </w:pPr>
      <w:r w:rsidRPr="005A7A6B">
        <w:rPr>
          <w:i/>
          <w:iCs/>
        </w:rPr>
        <w:t xml:space="preserve">States and localities should adopt early care and education licensing regulations that require minimum nutrition and physical activity standards that all licensed </w:t>
      </w:r>
      <w:r w:rsidR="0021587B" w:rsidRPr="005A7A6B">
        <w:rPr>
          <w:i/>
          <w:iCs/>
        </w:rPr>
        <w:t>childcare</w:t>
      </w:r>
      <w:r w:rsidRPr="005A7A6B">
        <w:rPr>
          <w:i/>
          <w:iCs/>
        </w:rPr>
        <w:t xml:space="preserve"> providers follow, regardless of program participation, and ensure early education and care workers are paid an adequate wage. </w:t>
      </w:r>
    </w:p>
    <w:p w14:paraId="6A81360B" w14:textId="77777777" w:rsidR="005A7A6B" w:rsidRDefault="005A7A6B" w:rsidP="005A7A6B">
      <w:pPr>
        <w:pStyle w:val="ListParagraph"/>
        <w:ind w:left="360"/>
        <w:rPr>
          <w:i/>
          <w:iCs/>
        </w:rPr>
      </w:pPr>
    </w:p>
    <w:p w14:paraId="1C2C9B27" w14:textId="1A41D47B" w:rsidR="005A7A6B" w:rsidRPr="005A7A6B" w:rsidRDefault="005664AA" w:rsidP="005A7A6B">
      <w:pPr>
        <w:pStyle w:val="ListParagraph"/>
        <w:numPr>
          <w:ilvl w:val="0"/>
          <w:numId w:val="2"/>
        </w:numPr>
        <w:ind w:left="360"/>
        <w:rPr>
          <w:i/>
          <w:iCs/>
        </w:rPr>
      </w:pPr>
      <w:r w:rsidRPr="005A7A6B">
        <w:rPr>
          <w:i/>
          <w:iCs/>
        </w:rPr>
        <w:t xml:space="preserve">States, localities, and K-12 schools should consider incorporating culinary arts and nutrition education into schools. </w:t>
      </w:r>
    </w:p>
    <w:p w14:paraId="664E78E2" w14:textId="77777777" w:rsidR="005A7A6B" w:rsidRDefault="005A7A6B" w:rsidP="005A7A6B">
      <w:pPr>
        <w:pStyle w:val="ListParagraph"/>
        <w:ind w:left="360"/>
        <w:rPr>
          <w:i/>
          <w:iCs/>
        </w:rPr>
      </w:pPr>
    </w:p>
    <w:p w14:paraId="66939F9C" w14:textId="7A032925" w:rsidR="005A7A6B" w:rsidRPr="005A7A6B" w:rsidRDefault="005664AA" w:rsidP="005A7A6B">
      <w:pPr>
        <w:pStyle w:val="ListParagraph"/>
        <w:numPr>
          <w:ilvl w:val="0"/>
          <w:numId w:val="2"/>
        </w:numPr>
        <w:ind w:left="360"/>
        <w:rPr>
          <w:i/>
          <w:iCs/>
        </w:rPr>
      </w:pPr>
      <w:r w:rsidRPr="005A7A6B">
        <w:rPr>
          <w:i/>
          <w:iCs/>
        </w:rPr>
        <w:t xml:space="preserve">OAA nutrition programs and Centers for Independent Living should expand creative service models by partnering with restaurants, grocery stores, food trucks, and local farmers to promote nutritious meals and use of </w:t>
      </w:r>
      <w:proofErr w:type="gramStart"/>
      <w:r w:rsidRPr="005A7A6B">
        <w:rPr>
          <w:i/>
          <w:iCs/>
        </w:rPr>
        <w:t>locally-sourced</w:t>
      </w:r>
      <w:proofErr w:type="gramEnd"/>
      <w:r w:rsidRPr="005A7A6B">
        <w:rPr>
          <w:i/>
          <w:iCs/>
        </w:rPr>
        <w:t xml:space="preserve"> foods. </w:t>
      </w:r>
    </w:p>
    <w:p w14:paraId="38F42F45" w14:textId="77777777" w:rsidR="005A7A6B" w:rsidRDefault="005A7A6B" w:rsidP="005A7A6B">
      <w:pPr>
        <w:pStyle w:val="ListParagraph"/>
        <w:ind w:left="360"/>
        <w:rPr>
          <w:i/>
          <w:iCs/>
        </w:rPr>
      </w:pPr>
    </w:p>
    <w:p w14:paraId="7F97D79A" w14:textId="6B806D76" w:rsidR="005A7A6B" w:rsidRPr="005A7A6B" w:rsidRDefault="005664AA" w:rsidP="005A7A6B">
      <w:pPr>
        <w:pStyle w:val="ListParagraph"/>
        <w:numPr>
          <w:ilvl w:val="0"/>
          <w:numId w:val="2"/>
        </w:numPr>
        <w:ind w:left="360"/>
        <w:rPr>
          <w:i/>
          <w:iCs/>
        </w:rPr>
      </w:pPr>
      <w:r w:rsidRPr="005A7A6B">
        <w:rPr>
          <w:i/>
          <w:iCs/>
        </w:rPr>
        <w:t xml:space="preserve">Colleges and universities should update their procurement contracts to ensure healthier foods are available in dining halls, including through sourcing local foods. </w:t>
      </w:r>
    </w:p>
    <w:p w14:paraId="71398332" w14:textId="77777777" w:rsidR="005A7A6B" w:rsidRDefault="005A7A6B" w:rsidP="005A7A6B">
      <w:pPr>
        <w:pStyle w:val="ListParagraph"/>
        <w:ind w:left="360"/>
        <w:rPr>
          <w:i/>
          <w:iCs/>
        </w:rPr>
      </w:pPr>
    </w:p>
    <w:p w14:paraId="03CACE8A" w14:textId="0AC63705" w:rsidR="005A7A6B" w:rsidRPr="005A7A6B" w:rsidRDefault="005664AA" w:rsidP="005A7A6B">
      <w:pPr>
        <w:pStyle w:val="ListParagraph"/>
        <w:numPr>
          <w:ilvl w:val="0"/>
          <w:numId w:val="2"/>
        </w:numPr>
        <w:ind w:left="360"/>
        <w:rPr>
          <w:i/>
          <w:iCs/>
        </w:rPr>
      </w:pPr>
      <w:r w:rsidRPr="005A7A6B">
        <w:rPr>
          <w:i/>
          <w:iCs/>
        </w:rPr>
        <w:t xml:space="preserve">Philanthropy should support pilots in underserved communities—including Tribal communities, rural, and Native Hawaiian communities—that boost local food systems as an economic driver in communities by fostering connections between farmers who are growing culturally appropriate food, food vendors, institutions, and community organizations. </w:t>
      </w:r>
    </w:p>
    <w:p w14:paraId="120BEC55" w14:textId="77777777" w:rsidR="005A7A6B" w:rsidRDefault="005A7A6B" w:rsidP="005A7A6B">
      <w:pPr>
        <w:pStyle w:val="ListParagraph"/>
        <w:ind w:left="360"/>
        <w:rPr>
          <w:i/>
          <w:iCs/>
        </w:rPr>
      </w:pPr>
    </w:p>
    <w:p w14:paraId="4E2D8DAD" w14:textId="466B00D6" w:rsidR="005A7A6B" w:rsidRPr="005A7A6B" w:rsidRDefault="005664AA" w:rsidP="005A7A6B">
      <w:pPr>
        <w:pStyle w:val="ListParagraph"/>
        <w:numPr>
          <w:ilvl w:val="0"/>
          <w:numId w:val="2"/>
        </w:numPr>
        <w:ind w:left="360"/>
        <w:rPr>
          <w:i/>
          <w:iCs/>
        </w:rPr>
      </w:pPr>
      <w:r w:rsidRPr="005A7A6B">
        <w:rPr>
          <w:i/>
          <w:iCs/>
        </w:rPr>
        <w:t xml:space="preserve">The food industry should increase the availability of and access to foods that are low in sodium and added sugars—including foods meeting or exceeding FDA’s voluntary sodium reduction targets—and high in whole grains, particularly for the K-12 market. </w:t>
      </w:r>
    </w:p>
    <w:p w14:paraId="4A08A8C5" w14:textId="77777777" w:rsidR="005A7A6B" w:rsidRDefault="005A7A6B" w:rsidP="005A7A6B">
      <w:pPr>
        <w:pStyle w:val="ListParagraph"/>
        <w:ind w:left="360"/>
        <w:rPr>
          <w:i/>
          <w:iCs/>
        </w:rPr>
      </w:pPr>
    </w:p>
    <w:p w14:paraId="6E97DEF4" w14:textId="6E764381" w:rsidR="005A7A6B" w:rsidRPr="005A7A6B" w:rsidRDefault="005664AA" w:rsidP="005A7A6B">
      <w:pPr>
        <w:pStyle w:val="ListParagraph"/>
        <w:numPr>
          <w:ilvl w:val="0"/>
          <w:numId w:val="2"/>
        </w:numPr>
        <w:ind w:left="360"/>
        <w:rPr>
          <w:i/>
          <w:iCs/>
        </w:rPr>
      </w:pPr>
      <w:r w:rsidRPr="005A7A6B">
        <w:rPr>
          <w:i/>
          <w:iCs/>
        </w:rPr>
        <w:lastRenderedPageBreak/>
        <w:t xml:space="preserve">Food retailers should hire RDNs to help provide nutrition information to consumers, redesign stores to </w:t>
      </w:r>
      <w:proofErr w:type="gramStart"/>
      <w:r w:rsidRPr="005A7A6B">
        <w:rPr>
          <w:i/>
          <w:iCs/>
        </w:rPr>
        <w:t>more prominently place healthier choices, market and stock healthier items</w:t>
      </w:r>
      <w:proofErr w:type="gramEnd"/>
      <w:r w:rsidRPr="005A7A6B">
        <w:rPr>
          <w:i/>
          <w:iCs/>
        </w:rPr>
        <w:t xml:space="preserve">, and establish buying programs with local farms. </w:t>
      </w:r>
    </w:p>
    <w:p w14:paraId="1F43DFE8" w14:textId="77777777" w:rsidR="005A7A6B" w:rsidRDefault="005A7A6B" w:rsidP="005A7A6B">
      <w:pPr>
        <w:pStyle w:val="ListParagraph"/>
        <w:ind w:left="360"/>
        <w:rPr>
          <w:i/>
          <w:iCs/>
        </w:rPr>
      </w:pPr>
    </w:p>
    <w:p w14:paraId="67B9A816" w14:textId="493F5F9D" w:rsidR="005664AA" w:rsidRPr="005A7A6B" w:rsidRDefault="005664AA" w:rsidP="005A7A6B">
      <w:pPr>
        <w:pStyle w:val="ListParagraph"/>
        <w:numPr>
          <w:ilvl w:val="0"/>
          <w:numId w:val="2"/>
        </w:numPr>
        <w:ind w:left="360"/>
        <w:rPr>
          <w:i/>
          <w:iCs/>
        </w:rPr>
      </w:pPr>
      <w:r w:rsidRPr="005A7A6B">
        <w:rPr>
          <w:i/>
          <w:iCs/>
        </w:rPr>
        <w:t>Online grocery companies should redesign their search algorithms to ensure healthier products appear first and include ingredient and Nutrition Facts label information in an accessible manner for all food products sold online.</w:t>
      </w:r>
    </w:p>
    <w:p w14:paraId="62FE572A" w14:textId="5262C378" w:rsidR="005664AA" w:rsidRDefault="005664AA" w:rsidP="005664AA"/>
    <w:sectPr w:rsidR="005664AA" w:rsidSect="00924EC7">
      <w:footerReference w:type="default" r:id="rId8"/>
      <w:pgSz w:w="12240" w:h="15840" w:code="1"/>
      <w:pgMar w:top="720" w:right="1440" w:bottom="72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D500B" w14:textId="77777777" w:rsidR="00EB3E86" w:rsidRDefault="00EB3E86" w:rsidP="00924EC7">
      <w:pPr>
        <w:spacing w:after="0" w:line="240" w:lineRule="auto"/>
      </w:pPr>
      <w:r>
        <w:separator/>
      </w:r>
    </w:p>
  </w:endnote>
  <w:endnote w:type="continuationSeparator" w:id="0">
    <w:p w14:paraId="089D910B" w14:textId="77777777" w:rsidR="00EB3E86" w:rsidRDefault="00EB3E86" w:rsidP="0092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D461" w14:textId="77777777" w:rsidR="00924EC7" w:rsidRPr="00924EC7" w:rsidRDefault="00924EC7">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0"/>
        <w:szCs w:val="20"/>
      </w:rPr>
    </w:pPr>
    <w:r w:rsidRPr="00924EC7">
      <w:rPr>
        <w:rFonts w:asciiTheme="majorHAnsi" w:eastAsiaTheme="majorEastAsia" w:hAnsiTheme="majorHAnsi" w:cstheme="majorBidi"/>
        <w:color w:val="2F5496" w:themeColor="accent1" w:themeShade="BF"/>
        <w:sz w:val="20"/>
        <w:szCs w:val="20"/>
      </w:rPr>
      <w:fldChar w:fldCharType="begin"/>
    </w:r>
    <w:r w:rsidRPr="00924EC7">
      <w:rPr>
        <w:rFonts w:asciiTheme="majorHAnsi" w:eastAsiaTheme="majorEastAsia" w:hAnsiTheme="majorHAnsi" w:cstheme="majorBidi"/>
        <w:color w:val="2F5496" w:themeColor="accent1" w:themeShade="BF"/>
        <w:sz w:val="20"/>
        <w:szCs w:val="20"/>
      </w:rPr>
      <w:instrText xml:space="preserve"> PAGE   \* MERGEFORMAT </w:instrText>
    </w:r>
    <w:r w:rsidRPr="00924EC7">
      <w:rPr>
        <w:rFonts w:asciiTheme="majorHAnsi" w:eastAsiaTheme="majorEastAsia" w:hAnsiTheme="majorHAnsi" w:cstheme="majorBidi"/>
        <w:color w:val="2F5496" w:themeColor="accent1" w:themeShade="BF"/>
        <w:sz w:val="20"/>
        <w:szCs w:val="20"/>
      </w:rPr>
      <w:fldChar w:fldCharType="separate"/>
    </w:r>
    <w:r w:rsidRPr="00924EC7">
      <w:rPr>
        <w:rFonts w:asciiTheme="majorHAnsi" w:eastAsiaTheme="majorEastAsia" w:hAnsiTheme="majorHAnsi" w:cstheme="majorBidi"/>
        <w:noProof/>
        <w:color w:val="2F5496" w:themeColor="accent1" w:themeShade="BF"/>
        <w:sz w:val="20"/>
        <w:szCs w:val="20"/>
      </w:rPr>
      <w:t>2</w:t>
    </w:r>
    <w:r w:rsidRPr="00924EC7">
      <w:rPr>
        <w:rFonts w:asciiTheme="majorHAnsi" w:eastAsiaTheme="majorEastAsia" w:hAnsiTheme="majorHAnsi" w:cstheme="majorBidi"/>
        <w:noProof/>
        <w:color w:val="2F5496" w:themeColor="accent1" w:themeShade="BF"/>
        <w:sz w:val="20"/>
        <w:szCs w:val="20"/>
      </w:rPr>
      <w:fldChar w:fldCharType="end"/>
    </w:r>
  </w:p>
  <w:p w14:paraId="76122224" w14:textId="77777777" w:rsidR="00924EC7" w:rsidRDefault="00924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2C02" w14:textId="77777777" w:rsidR="00EB3E86" w:rsidRDefault="00EB3E86" w:rsidP="00924EC7">
      <w:pPr>
        <w:spacing w:after="0" w:line="240" w:lineRule="auto"/>
      </w:pPr>
      <w:r>
        <w:separator/>
      </w:r>
    </w:p>
  </w:footnote>
  <w:footnote w:type="continuationSeparator" w:id="0">
    <w:p w14:paraId="60573C63" w14:textId="77777777" w:rsidR="00EB3E86" w:rsidRDefault="00EB3E86" w:rsidP="00924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B005F"/>
    <w:multiLevelType w:val="hybridMultilevel"/>
    <w:tmpl w:val="FDC40166"/>
    <w:lvl w:ilvl="0" w:tplc="A90485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913D9"/>
    <w:multiLevelType w:val="hybridMultilevel"/>
    <w:tmpl w:val="24CC2B1C"/>
    <w:lvl w:ilvl="0" w:tplc="A90485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F1820"/>
    <w:multiLevelType w:val="hybridMultilevel"/>
    <w:tmpl w:val="6FA8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161818">
    <w:abstractNumId w:val="2"/>
  </w:num>
  <w:num w:numId="2" w16cid:durableId="1490363723">
    <w:abstractNumId w:val="0"/>
  </w:num>
  <w:num w:numId="3" w16cid:durableId="1531525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AA"/>
    <w:rsid w:val="00001FE7"/>
    <w:rsid w:val="00090B93"/>
    <w:rsid w:val="00126263"/>
    <w:rsid w:val="0021587B"/>
    <w:rsid w:val="002F5706"/>
    <w:rsid w:val="002F79B5"/>
    <w:rsid w:val="00474DC6"/>
    <w:rsid w:val="005664AA"/>
    <w:rsid w:val="00590231"/>
    <w:rsid w:val="005A7A6B"/>
    <w:rsid w:val="00675704"/>
    <w:rsid w:val="00695132"/>
    <w:rsid w:val="008D3BC2"/>
    <w:rsid w:val="00924EC7"/>
    <w:rsid w:val="009D59E9"/>
    <w:rsid w:val="00BA42D3"/>
    <w:rsid w:val="00BA4E2B"/>
    <w:rsid w:val="00C10D25"/>
    <w:rsid w:val="00C3564E"/>
    <w:rsid w:val="00D92F42"/>
    <w:rsid w:val="00EB3E86"/>
    <w:rsid w:val="00EF255A"/>
    <w:rsid w:val="00FA036A"/>
    <w:rsid w:val="00FA7B23"/>
    <w:rsid w:val="00FC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CCA6"/>
  <w15:chartTrackingRefBased/>
  <w15:docId w15:val="{A092D986-700B-43AA-8664-42B1B229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6B"/>
    <w:pPr>
      <w:ind w:left="720"/>
      <w:contextualSpacing/>
    </w:pPr>
  </w:style>
  <w:style w:type="paragraph" w:styleId="Header">
    <w:name w:val="header"/>
    <w:basedOn w:val="Normal"/>
    <w:link w:val="HeaderChar"/>
    <w:uiPriority w:val="99"/>
    <w:unhideWhenUsed/>
    <w:rsid w:val="00924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EC7"/>
  </w:style>
  <w:style w:type="paragraph" w:styleId="Footer">
    <w:name w:val="footer"/>
    <w:basedOn w:val="Normal"/>
    <w:link w:val="FooterChar"/>
    <w:uiPriority w:val="99"/>
    <w:unhideWhenUsed/>
    <w:rsid w:val="00924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EC7"/>
  </w:style>
  <w:style w:type="character" w:styleId="Hyperlink">
    <w:name w:val="Hyperlink"/>
    <w:basedOn w:val="DefaultParagraphFont"/>
    <w:uiPriority w:val="99"/>
    <w:unhideWhenUsed/>
    <w:rsid w:val="008D3BC2"/>
    <w:rPr>
      <w:color w:val="0563C1" w:themeColor="hyperlink"/>
      <w:u w:val="single"/>
    </w:rPr>
  </w:style>
  <w:style w:type="character" w:styleId="UnresolvedMention">
    <w:name w:val="Unresolved Mention"/>
    <w:basedOn w:val="DefaultParagraphFont"/>
    <w:uiPriority w:val="99"/>
    <w:semiHidden/>
    <w:unhideWhenUsed/>
    <w:rsid w:val="008D3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8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hitehouse.gov/wp-content/uploads/2022/09/White-House-National-Strategy-on-Hunger-Nutrition-and-Health-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Galic</dc:creator>
  <cp:keywords/>
  <dc:description/>
  <cp:lastModifiedBy>Mara  Galic</cp:lastModifiedBy>
  <cp:revision>3</cp:revision>
  <dcterms:created xsi:type="dcterms:W3CDTF">2023-08-10T09:54:00Z</dcterms:created>
  <dcterms:modified xsi:type="dcterms:W3CDTF">2023-08-10T09:57:00Z</dcterms:modified>
</cp:coreProperties>
</file>