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E35" w14:textId="682EB49E" w:rsidR="001D2BBA" w:rsidRPr="001D2BBA" w:rsidRDefault="001D2BBA" w:rsidP="001D2BBA">
      <w:pPr>
        <w:spacing w:line="320" w:lineRule="exact"/>
        <w:rPr>
          <w:b/>
          <w:spacing w:val="-1"/>
          <w:szCs w:val="28"/>
        </w:rPr>
      </w:pPr>
    </w:p>
    <w:p w14:paraId="500801AA" w14:textId="08DFA6FC" w:rsidR="00AD1F62" w:rsidRDefault="00AD1F62" w:rsidP="001D2BBA">
      <w:pPr>
        <w:spacing w:line="320" w:lineRule="exact"/>
        <w:jc w:val="center"/>
        <w:rPr>
          <w:b/>
          <w:spacing w:val="-1"/>
          <w:sz w:val="28"/>
          <w:szCs w:val="28"/>
        </w:rPr>
      </w:pPr>
      <w:r w:rsidRPr="00AD1F62">
        <w:rPr>
          <w:b/>
          <w:spacing w:val="-1"/>
          <w:sz w:val="28"/>
          <w:szCs w:val="28"/>
        </w:rPr>
        <w:t>SOCIA</w:t>
      </w:r>
      <w:r w:rsidR="00B61EF6">
        <w:rPr>
          <w:b/>
          <w:spacing w:val="-1"/>
          <w:sz w:val="28"/>
          <w:szCs w:val="28"/>
        </w:rPr>
        <w:t>L</w:t>
      </w:r>
      <w:r w:rsidRPr="00AD1F62">
        <w:rPr>
          <w:b/>
          <w:spacing w:val="-1"/>
          <w:sz w:val="28"/>
          <w:szCs w:val="28"/>
        </w:rPr>
        <w:t xml:space="preserve"> DETERMINANTS OF HEALTH </w:t>
      </w:r>
      <w:r>
        <w:rPr>
          <w:b/>
          <w:spacing w:val="-1"/>
          <w:sz w:val="28"/>
          <w:szCs w:val="28"/>
        </w:rPr>
        <w:t>PROGRAM</w:t>
      </w:r>
    </w:p>
    <w:p w14:paraId="522673DA" w14:textId="362732D8" w:rsidR="00AA65F6" w:rsidRDefault="00AA65F6" w:rsidP="001D2BBA">
      <w:pPr>
        <w:spacing w:line="320" w:lineRule="exact"/>
        <w:jc w:val="center"/>
        <w:rPr>
          <w:b/>
          <w:sz w:val="28"/>
          <w:szCs w:val="28"/>
        </w:rPr>
      </w:pPr>
      <w:r>
        <w:rPr>
          <w:b/>
          <w:spacing w:val="-1"/>
          <w:sz w:val="28"/>
          <w:szCs w:val="28"/>
        </w:rPr>
        <w:t>F</w:t>
      </w:r>
      <w:r>
        <w:rPr>
          <w:b/>
          <w:sz w:val="28"/>
          <w:szCs w:val="28"/>
        </w:rPr>
        <w:t>Y</w:t>
      </w:r>
      <w:r>
        <w:rPr>
          <w:b/>
          <w:spacing w:val="-1"/>
          <w:sz w:val="28"/>
          <w:szCs w:val="28"/>
        </w:rPr>
        <w:t xml:space="preserve"> </w:t>
      </w:r>
      <w:r>
        <w:rPr>
          <w:b/>
          <w:sz w:val="28"/>
          <w:szCs w:val="28"/>
        </w:rPr>
        <w:t>2</w:t>
      </w:r>
      <w:r>
        <w:rPr>
          <w:b/>
          <w:spacing w:val="1"/>
          <w:sz w:val="28"/>
          <w:szCs w:val="28"/>
        </w:rPr>
        <w:t>0</w:t>
      </w:r>
      <w:r>
        <w:rPr>
          <w:b/>
          <w:spacing w:val="-1"/>
          <w:sz w:val="28"/>
          <w:szCs w:val="28"/>
        </w:rPr>
        <w:t>2</w:t>
      </w:r>
      <w:r w:rsidR="00986323">
        <w:rPr>
          <w:b/>
          <w:spacing w:val="-1"/>
          <w:sz w:val="28"/>
          <w:szCs w:val="28"/>
        </w:rPr>
        <w:t>4</w:t>
      </w:r>
      <w:r>
        <w:rPr>
          <w:b/>
          <w:spacing w:val="2"/>
          <w:sz w:val="28"/>
          <w:szCs w:val="28"/>
        </w:rPr>
        <w:t xml:space="preserve"> </w:t>
      </w:r>
      <w:r>
        <w:rPr>
          <w:b/>
          <w:spacing w:val="-2"/>
          <w:sz w:val="28"/>
          <w:szCs w:val="28"/>
        </w:rPr>
        <w:t>F</w:t>
      </w:r>
      <w:r>
        <w:rPr>
          <w:b/>
          <w:spacing w:val="-1"/>
          <w:sz w:val="28"/>
          <w:szCs w:val="28"/>
        </w:rPr>
        <w:t>AC</w:t>
      </w:r>
      <w:r>
        <w:rPr>
          <w:b/>
          <w:sz w:val="28"/>
          <w:szCs w:val="28"/>
        </w:rPr>
        <w:t>T S</w:t>
      </w:r>
      <w:r>
        <w:rPr>
          <w:b/>
          <w:spacing w:val="-1"/>
          <w:sz w:val="28"/>
          <w:szCs w:val="28"/>
        </w:rPr>
        <w:t>H</w:t>
      </w:r>
      <w:r>
        <w:rPr>
          <w:b/>
          <w:sz w:val="28"/>
          <w:szCs w:val="28"/>
        </w:rPr>
        <w:t>EET</w:t>
      </w:r>
    </w:p>
    <w:p w14:paraId="18D66934" w14:textId="77777777" w:rsidR="00986323" w:rsidRPr="00986323" w:rsidRDefault="00986323" w:rsidP="00986323">
      <w:pPr>
        <w:rPr>
          <w:bCs/>
          <w:sz w:val="24"/>
          <w:szCs w:val="24"/>
        </w:rPr>
      </w:pPr>
    </w:p>
    <w:p w14:paraId="55543C98" w14:textId="0E7F8F5E" w:rsidR="00463298" w:rsidRDefault="00463298" w:rsidP="00986323">
      <w:pPr>
        <w:rPr>
          <w:sz w:val="24"/>
          <w:szCs w:val="24"/>
        </w:rPr>
      </w:pPr>
      <w:r w:rsidRPr="00C211D7">
        <w:rPr>
          <w:sz w:val="24"/>
          <w:szCs w:val="24"/>
        </w:rPr>
        <w:t>Social determinants of health (SDOH) are the conditions in the environments where people are born, live, learn, work, play, and age that affect health and quality-of-life outcomes</w:t>
      </w:r>
      <w:r w:rsidR="005F427A" w:rsidRPr="00C211D7" w:rsidDel="1F7FB2B1">
        <w:rPr>
          <w:sz w:val="24"/>
          <w:szCs w:val="24"/>
        </w:rPr>
        <w:t>.</w:t>
      </w:r>
      <w:r w:rsidRPr="00C211D7">
        <w:rPr>
          <w:sz w:val="24"/>
          <w:szCs w:val="24"/>
        </w:rPr>
        <w:t xml:space="preserve"> SDOH include income level, employment </w:t>
      </w:r>
      <w:r w:rsidR="00CE60DA" w:rsidRPr="00C211D7">
        <w:rPr>
          <w:sz w:val="24"/>
          <w:szCs w:val="24"/>
        </w:rPr>
        <w:t>opportunities</w:t>
      </w:r>
      <w:r w:rsidRPr="00C211D7">
        <w:rPr>
          <w:sz w:val="24"/>
          <w:szCs w:val="24"/>
        </w:rPr>
        <w:t xml:space="preserve">, racial segregation, food </w:t>
      </w:r>
      <w:r w:rsidR="00986323">
        <w:rPr>
          <w:sz w:val="24"/>
          <w:szCs w:val="24"/>
        </w:rPr>
        <w:t xml:space="preserve">and </w:t>
      </w:r>
      <w:r w:rsidRPr="00C211D7">
        <w:rPr>
          <w:sz w:val="24"/>
          <w:szCs w:val="24"/>
        </w:rPr>
        <w:t>nutrition</w:t>
      </w:r>
      <w:r w:rsidR="00986323">
        <w:rPr>
          <w:sz w:val="24"/>
          <w:szCs w:val="24"/>
        </w:rPr>
        <w:t xml:space="preserve"> security</w:t>
      </w:r>
      <w:r w:rsidRPr="00C211D7">
        <w:rPr>
          <w:sz w:val="24"/>
          <w:szCs w:val="24"/>
        </w:rPr>
        <w:t xml:space="preserve">, housing access, neighborhood and </w:t>
      </w:r>
      <w:r w:rsidR="00986323">
        <w:rPr>
          <w:sz w:val="24"/>
          <w:szCs w:val="24"/>
        </w:rPr>
        <w:t>built</w:t>
      </w:r>
      <w:r w:rsidRPr="00C211D7">
        <w:rPr>
          <w:sz w:val="24"/>
          <w:szCs w:val="24"/>
        </w:rPr>
        <w:t xml:space="preserve"> environment, educational opportunities, and social support networks.</w:t>
      </w:r>
      <w:r w:rsidR="00F33AE2" w:rsidRPr="00C211D7">
        <w:rPr>
          <w:sz w:val="24"/>
          <w:szCs w:val="24"/>
        </w:rPr>
        <w:t xml:space="preserve"> </w:t>
      </w:r>
      <w:r w:rsidRPr="00C211D7">
        <w:rPr>
          <w:sz w:val="24"/>
          <w:szCs w:val="24"/>
        </w:rPr>
        <w:t>Differences in SDOH contribute to stark and persistent health disparities among racial, ethnic, and socioeconomic groups</w:t>
      </w:r>
      <w:r w:rsidR="002240A1" w:rsidRPr="00C211D7">
        <w:rPr>
          <w:sz w:val="24"/>
          <w:szCs w:val="24"/>
        </w:rPr>
        <w:t xml:space="preserve"> </w:t>
      </w:r>
      <w:r w:rsidR="00F446F6" w:rsidRPr="00C211D7">
        <w:rPr>
          <w:sz w:val="24"/>
          <w:szCs w:val="24"/>
        </w:rPr>
        <w:t xml:space="preserve">in </w:t>
      </w:r>
      <w:r w:rsidR="002240A1" w:rsidRPr="00C211D7">
        <w:rPr>
          <w:sz w:val="24"/>
          <w:szCs w:val="24"/>
        </w:rPr>
        <w:t>the U</w:t>
      </w:r>
      <w:r w:rsidR="00913761" w:rsidRPr="00C211D7">
        <w:rPr>
          <w:sz w:val="24"/>
          <w:szCs w:val="24"/>
        </w:rPr>
        <w:t xml:space="preserve">nited </w:t>
      </w:r>
      <w:r w:rsidR="002240A1" w:rsidRPr="00C211D7">
        <w:rPr>
          <w:sz w:val="24"/>
          <w:szCs w:val="24"/>
        </w:rPr>
        <w:t>S</w:t>
      </w:r>
      <w:r w:rsidR="00913761" w:rsidRPr="00C211D7">
        <w:rPr>
          <w:sz w:val="24"/>
          <w:szCs w:val="24"/>
        </w:rPr>
        <w:t>tates</w:t>
      </w:r>
      <w:r w:rsidR="002240A1" w:rsidRPr="00C211D7">
        <w:rPr>
          <w:sz w:val="24"/>
          <w:szCs w:val="24"/>
        </w:rPr>
        <w:t>.</w:t>
      </w:r>
      <w:r w:rsidR="00166BBA" w:rsidRPr="00C211D7">
        <w:rPr>
          <w:sz w:val="24"/>
          <w:szCs w:val="24"/>
        </w:rPr>
        <w:t xml:space="preserve"> C</w:t>
      </w:r>
      <w:r w:rsidR="00F33AE2" w:rsidRPr="00C211D7">
        <w:rPr>
          <w:sz w:val="24"/>
          <w:szCs w:val="24"/>
        </w:rPr>
        <w:t>ommunities with unstable housing, low income</w:t>
      </w:r>
      <w:r w:rsidR="00812BDF" w:rsidRPr="00C211D7">
        <w:rPr>
          <w:sz w:val="24"/>
          <w:szCs w:val="24"/>
        </w:rPr>
        <w:t xml:space="preserve">, </w:t>
      </w:r>
      <w:r w:rsidR="00F33AE2" w:rsidRPr="00C211D7">
        <w:rPr>
          <w:sz w:val="24"/>
          <w:szCs w:val="24"/>
        </w:rPr>
        <w:t xml:space="preserve">unsafe neighborhoods, </w:t>
      </w:r>
      <w:r w:rsidR="00D97742" w:rsidRPr="00C211D7">
        <w:rPr>
          <w:sz w:val="24"/>
          <w:szCs w:val="24"/>
        </w:rPr>
        <w:t xml:space="preserve">or </w:t>
      </w:r>
      <w:r w:rsidR="00F33AE2" w:rsidRPr="00C211D7">
        <w:rPr>
          <w:sz w:val="24"/>
          <w:szCs w:val="24"/>
        </w:rPr>
        <w:t>substandard education</w:t>
      </w:r>
      <w:r w:rsidR="00D97742" w:rsidRPr="00C211D7">
        <w:rPr>
          <w:sz w:val="24"/>
          <w:szCs w:val="24"/>
        </w:rPr>
        <w:t xml:space="preserve"> </w:t>
      </w:r>
      <w:r w:rsidR="00F33AE2" w:rsidRPr="00C211D7">
        <w:rPr>
          <w:sz w:val="24"/>
          <w:szCs w:val="24"/>
        </w:rPr>
        <w:t>face strikingly worse health outcomes than their whiter</w:t>
      </w:r>
      <w:r w:rsidR="006D6354" w:rsidRPr="00C211D7">
        <w:rPr>
          <w:sz w:val="24"/>
          <w:szCs w:val="24"/>
        </w:rPr>
        <w:t xml:space="preserve">, wealthier </w:t>
      </w:r>
      <w:r w:rsidR="00F33AE2" w:rsidRPr="00C211D7">
        <w:rPr>
          <w:sz w:val="24"/>
          <w:szCs w:val="24"/>
        </w:rPr>
        <w:t>counterparts.</w:t>
      </w:r>
      <w:r w:rsidR="005A4DD7" w:rsidRPr="00C211D7">
        <w:rPr>
          <w:sz w:val="24"/>
          <w:szCs w:val="24"/>
        </w:rPr>
        <w:t xml:space="preserve"> </w:t>
      </w:r>
    </w:p>
    <w:p w14:paraId="2B994E65" w14:textId="33613ADB" w:rsidR="00986323" w:rsidRDefault="00986323" w:rsidP="00986323">
      <w:pPr>
        <w:rPr>
          <w:sz w:val="24"/>
          <w:szCs w:val="24"/>
        </w:rPr>
      </w:pPr>
    </w:p>
    <w:p w14:paraId="23BA0C35" w14:textId="77777777" w:rsidR="00986323" w:rsidRPr="00C211D7" w:rsidRDefault="00986323" w:rsidP="00986323">
      <w:pPr>
        <w:rPr>
          <w:b/>
          <w:bCs/>
          <w:sz w:val="24"/>
          <w:szCs w:val="24"/>
          <w:u w:val="single"/>
        </w:rPr>
      </w:pPr>
      <w:r w:rsidRPr="00C211D7">
        <w:rPr>
          <w:b/>
          <w:bCs/>
          <w:sz w:val="24"/>
          <w:szCs w:val="24"/>
          <w:u w:val="single"/>
        </w:rPr>
        <w:t>CDC’s Social Determinants of Health Program</w:t>
      </w:r>
    </w:p>
    <w:p w14:paraId="28056B70" w14:textId="77777777" w:rsidR="00FD44D7" w:rsidRDefault="00986323" w:rsidP="00986323">
      <w:pPr>
        <w:rPr>
          <w:sz w:val="24"/>
          <w:szCs w:val="24"/>
        </w:rPr>
      </w:pPr>
      <w:r w:rsidRPr="00C211D7">
        <w:rPr>
          <w:sz w:val="24"/>
          <w:szCs w:val="24"/>
        </w:rPr>
        <w:t xml:space="preserve">CDC partners with communities across various sectors, including housing, education, and transportation, to improve SDOH and achieve health equity. CDC’s SDOH Program targets five social determinants (built environment, community-clinical linkages, food and nutrition security, social connectedness, and tobacco-free policy) through public health programs, policy, surveillance, and research. Working closely with nationally recognized planning partners, CDC supports Social Determinants of Health Community Pilots, Social Determinants of Health Accelerator Plans, and Racial and Ethnic Approaches to Community Health, among other initiatives. To varying degrees, local and state health and community agencies lack funding and tools to support cross-sector efforts, and disease-specific federal funding streams limit their work. </w:t>
      </w:r>
    </w:p>
    <w:p w14:paraId="187C5465" w14:textId="77777777" w:rsidR="00FD44D7" w:rsidRDefault="00FD44D7" w:rsidP="00986323">
      <w:pPr>
        <w:rPr>
          <w:sz w:val="24"/>
          <w:szCs w:val="24"/>
        </w:rPr>
      </w:pPr>
    </w:p>
    <w:p w14:paraId="3373182F" w14:textId="72F768CC" w:rsidR="00986323" w:rsidRPr="00986323" w:rsidRDefault="00986323" w:rsidP="00986323">
      <w:pPr>
        <w:rPr>
          <w:b/>
          <w:bCs/>
          <w:sz w:val="24"/>
          <w:szCs w:val="24"/>
        </w:rPr>
      </w:pPr>
      <w:r w:rsidRPr="00986323">
        <w:rPr>
          <w:b/>
          <w:bCs/>
          <w:sz w:val="24"/>
          <w:szCs w:val="24"/>
        </w:rPr>
        <w:t>With appropriate funding, this program will help states coordinate local public health and community resources and ensure more communities can confront SDOH. Increasing funding for CDC programs that address SDOH will reduce chronic disease impact now and in the future, decrease medical costs, and promote healthier, safer communities.</w:t>
      </w:r>
    </w:p>
    <w:p w14:paraId="4C58D509" w14:textId="77777777" w:rsidR="00C50140" w:rsidRPr="00C211D7" w:rsidRDefault="00C50140" w:rsidP="00986323">
      <w:pPr>
        <w:rPr>
          <w:sz w:val="24"/>
          <w:szCs w:val="24"/>
          <w:u w:val="single"/>
        </w:rPr>
      </w:pPr>
    </w:p>
    <w:p w14:paraId="2FB0FC5C" w14:textId="22589915" w:rsidR="00F76F9C" w:rsidRPr="00C211D7" w:rsidRDefault="00F76F9C" w:rsidP="00986323">
      <w:pPr>
        <w:rPr>
          <w:b/>
          <w:bCs/>
          <w:sz w:val="24"/>
          <w:szCs w:val="24"/>
          <w:u w:val="single"/>
        </w:rPr>
      </w:pPr>
      <w:r w:rsidRPr="00C211D7">
        <w:rPr>
          <w:b/>
          <w:bCs/>
          <w:sz w:val="24"/>
          <w:szCs w:val="24"/>
          <w:u w:val="single"/>
        </w:rPr>
        <w:t>Basic Facts</w:t>
      </w:r>
      <w:r w:rsidR="00F6367B" w:rsidRPr="00C211D7">
        <w:rPr>
          <w:b/>
          <w:bCs/>
          <w:sz w:val="24"/>
          <w:szCs w:val="24"/>
          <w:u w:val="single"/>
        </w:rPr>
        <w:t xml:space="preserve"> About </w:t>
      </w:r>
      <w:r w:rsidR="008F0633" w:rsidRPr="00C211D7">
        <w:rPr>
          <w:b/>
          <w:bCs/>
          <w:sz w:val="24"/>
          <w:szCs w:val="24"/>
          <w:u w:val="single"/>
        </w:rPr>
        <w:t>Social Determinants of Health</w:t>
      </w:r>
    </w:p>
    <w:p w14:paraId="04DAE48B" w14:textId="77777777" w:rsidR="004B16BF" w:rsidRPr="00986323" w:rsidRDefault="004B16BF" w:rsidP="004B16BF">
      <w:pPr>
        <w:pStyle w:val="ListParagraph"/>
        <w:numPr>
          <w:ilvl w:val="0"/>
          <w:numId w:val="1"/>
        </w:numPr>
        <w:rPr>
          <w:sz w:val="24"/>
          <w:szCs w:val="24"/>
        </w:rPr>
      </w:pPr>
      <w:r w:rsidRPr="00C211D7">
        <w:rPr>
          <w:sz w:val="24"/>
          <w:szCs w:val="24"/>
        </w:rPr>
        <w:t xml:space="preserve">SDOH </w:t>
      </w:r>
      <w:proofErr w:type="gramStart"/>
      <w:r w:rsidRPr="00C211D7">
        <w:rPr>
          <w:sz w:val="24"/>
          <w:szCs w:val="24"/>
        </w:rPr>
        <w:t>impact</w:t>
      </w:r>
      <w:proofErr w:type="gramEnd"/>
      <w:r w:rsidRPr="00C211D7">
        <w:rPr>
          <w:sz w:val="24"/>
          <w:szCs w:val="24"/>
        </w:rPr>
        <w:t xml:space="preserve"> between 80-90% of patient outcomes while improving availability or quality of medical care could reduce just 10-15% of preventable mortality.</w:t>
      </w:r>
    </w:p>
    <w:p w14:paraId="377A7829" w14:textId="2012DB83" w:rsidR="00F16E8B" w:rsidRPr="00C211D7" w:rsidRDefault="00F16E8B" w:rsidP="00986323">
      <w:pPr>
        <w:pStyle w:val="ListParagraph"/>
        <w:numPr>
          <w:ilvl w:val="0"/>
          <w:numId w:val="1"/>
        </w:numPr>
        <w:rPr>
          <w:sz w:val="24"/>
          <w:szCs w:val="24"/>
        </w:rPr>
      </w:pPr>
      <w:r w:rsidRPr="00C211D7">
        <w:rPr>
          <w:sz w:val="24"/>
          <w:szCs w:val="24"/>
        </w:rPr>
        <w:t>Racial disparities create $93 billion in excess medical care costs, $42 billion in lost productivity annually, and $175 billion in losses due to premature deaths.</w:t>
      </w:r>
    </w:p>
    <w:p w14:paraId="6B82B18E" w14:textId="0E7BF454" w:rsidR="00F16E8B" w:rsidRPr="00C211D7" w:rsidRDefault="00F16E8B" w:rsidP="00986323">
      <w:pPr>
        <w:pStyle w:val="ListParagraph"/>
        <w:numPr>
          <w:ilvl w:val="0"/>
          <w:numId w:val="1"/>
        </w:numPr>
        <w:rPr>
          <w:sz w:val="24"/>
          <w:szCs w:val="24"/>
        </w:rPr>
      </w:pPr>
      <w:r w:rsidRPr="00C211D7">
        <w:rPr>
          <w:sz w:val="24"/>
          <w:szCs w:val="24"/>
        </w:rPr>
        <w:t>Eliminating racial and ethnic disparities would reduce indirect costs of excess morbidity and mortality by more than $1 trillion over three years.</w:t>
      </w:r>
    </w:p>
    <w:p w14:paraId="0C77443D" w14:textId="4458F5C9" w:rsidR="00F16E8B" w:rsidRPr="00C211D7" w:rsidRDefault="00F16E8B" w:rsidP="00986323">
      <w:pPr>
        <w:pStyle w:val="ListParagraph"/>
        <w:numPr>
          <w:ilvl w:val="0"/>
          <w:numId w:val="1"/>
        </w:numPr>
        <w:rPr>
          <w:sz w:val="24"/>
          <w:szCs w:val="24"/>
        </w:rPr>
      </w:pPr>
      <w:r w:rsidRPr="00C211D7">
        <w:rPr>
          <w:sz w:val="24"/>
          <w:szCs w:val="24"/>
        </w:rPr>
        <w:t>Eliminating disparities in morbidity and mortality for people with less than a college education would have an estimated economic value of $1.02 trillion.</w:t>
      </w:r>
    </w:p>
    <w:p w14:paraId="0836CD29" w14:textId="77777777" w:rsidR="004B16BF" w:rsidRPr="00986323" w:rsidRDefault="004B16BF" w:rsidP="004B16BF">
      <w:pPr>
        <w:pStyle w:val="ListParagraph"/>
        <w:ind w:left="360"/>
        <w:rPr>
          <w:sz w:val="24"/>
          <w:szCs w:val="24"/>
        </w:rPr>
      </w:pPr>
    </w:p>
    <w:sectPr w:rsidR="004B16BF" w:rsidRPr="00986323" w:rsidSect="00986323">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315C" w14:textId="77777777" w:rsidR="00DC39C8" w:rsidRDefault="00DC39C8" w:rsidP="0078303B">
      <w:r>
        <w:separator/>
      </w:r>
    </w:p>
  </w:endnote>
  <w:endnote w:type="continuationSeparator" w:id="0">
    <w:p w14:paraId="6D20A8EC" w14:textId="77777777" w:rsidR="00DC39C8" w:rsidRDefault="00DC39C8" w:rsidP="0078303B">
      <w:r>
        <w:continuationSeparator/>
      </w:r>
    </w:p>
  </w:endnote>
  <w:endnote w:type="continuationNotice" w:id="1">
    <w:p w14:paraId="49D84C7C" w14:textId="77777777" w:rsidR="00DC39C8" w:rsidRDefault="00DC3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B274" w14:textId="77777777" w:rsidR="001D2BBA" w:rsidRPr="0020175D" w:rsidRDefault="001D2BBA" w:rsidP="0020175D">
    <w:pPr>
      <w:pStyle w:val="NoSpacing"/>
      <w:jc w:val="both"/>
      <w:rPr>
        <w:color w:val="0000FF"/>
        <w:sz w:val="22"/>
        <w:u w:val="single" w:color="0000FF"/>
      </w:rPr>
    </w:pPr>
    <w:r w:rsidRPr="0020175D">
      <w:rPr>
        <w:sz w:val="22"/>
      </w:rPr>
      <w:t xml:space="preserve">For </w:t>
    </w:r>
    <w:r w:rsidRPr="0020175D">
      <w:rPr>
        <w:spacing w:val="-3"/>
        <w:sz w:val="22"/>
      </w:rPr>
      <w:t>m</w:t>
    </w:r>
    <w:r w:rsidRPr="0020175D">
      <w:rPr>
        <w:sz w:val="22"/>
      </w:rPr>
      <w:t>o</w:t>
    </w:r>
    <w:r w:rsidRPr="0020175D">
      <w:rPr>
        <w:spacing w:val="1"/>
        <w:sz w:val="22"/>
      </w:rPr>
      <w:t>r</w:t>
    </w:r>
    <w:r w:rsidRPr="0020175D">
      <w:rPr>
        <w:sz w:val="22"/>
      </w:rPr>
      <w:t xml:space="preserve">e </w:t>
    </w:r>
    <w:r w:rsidRPr="0020175D">
      <w:rPr>
        <w:spacing w:val="1"/>
        <w:sz w:val="22"/>
      </w:rPr>
      <w:t>i</w:t>
    </w:r>
    <w:r w:rsidRPr="0020175D">
      <w:rPr>
        <w:spacing w:val="-2"/>
        <w:sz w:val="22"/>
      </w:rPr>
      <w:t>n</w:t>
    </w:r>
    <w:r w:rsidRPr="0020175D">
      <w:rPr>
        <w:spacing w:val="1"/>
        <w:sz w:val="22"/>
      </w:rPr>
      <w:t>f</w:t>
    </w:r>
    <w:r w:rsidRPr="0020175D">
      <w:rPr>
        <w:sz w:val="22"/>
      </w:rPr>
      <w:t>o</w:t>
    </w:r>
    <w:r w:rsidRPr="0020175D">
      <w:rPr>
        <w:spacing w:val="1"/>
        <w:sz w:val="22"/>
      </w:rPr>
      <w:t>r</w:t>
    </w:r>
    <w:r w:rsidRPr="0020175D">
      <w:rPr>
        <w:spacing w:val="-4"/>
        <w:sz w:val="22"/>
      </w:rPr>
      <w:t>m</w:t>
    </w:r>
    <w:r w:rsidRPr="0020175D">
      <w:rPr>
        <w:sz w:val="22"/>
      </w:rPr>
      <w:t>a</w:t>
    </w:r>
    <w:r w:rsidRPr="0020175D">
      <w:rPr>
        <w:spacing w:val="1"/>
        <w:sz w:val="22"/>
      </w:rPr>
      <w:t>ti</w:t>
    </w:r>
    <w:r w:rsidRPr="0020175D">
      <w:rPr>
        <w:spacing w:val="-2"/>
        <w:sz w:val="22"/>
      </w:rPr>
      <w:t>o</w:t>
    </w:r>
    <w:r w:rsidRPr="0020175D">
      <w:rPr>
        <w:sz w:val="22"/>
      </w:rPr>
      <w:t xml:space="preserve">n, </w:t>
    </w:r>
    <w:r w:rsidRPr="0020175D">
      <w:rPr>
        <w:spacing w:val="-2"/>
        <w:sz w:val="22"/>
      </w:rPr>
      <w:t>v</w:t>
    </w:r>
    <w:r w:rsidRPr="0020175D">
      <w:rPr>
        <w:spacing w:val="1"/>
        <w:sz w:val="22"/>
      </w:rPr>
      <w:t>i</w:t>
    </w:r>
    <w:r w:rsidRPr="0020175D">
      <w:rPr>
        <w:sz w:val="22"/>
      </w:rPr>
      <w:t>s</w:t>
    </w:r>
    <w:r w:rsidRPr="0020175D">
      <w:rPr>
        <w:spacing w:val="-1"/>
        <w:sz w:val="22"/>
      </w:rPr>
      <w:t>it</w:t>
    </w:r>
    <w:r w:rsidRPr="0020175D">
      <w:rPr>
        <w:sz w:val="22"/>
      </w:rPr>
      <w:t xml:space="preserve">: </w:t>
    </w:r>
    <w:r w:rsidRPr="0020175D">
      <w:rPr>
        <w:color w:val="0000FF"/>
        <w:spacing w:val="-52"/>
        <w:sz w:val="22"/>
      </w:rPr>
      <w:t xml:space="preserve"> </w:t>
    </w:r>
    <w:hyperlink r:id="rId1">
      <w:r w:rsidRPr="0020175D">
        <w:rPr>
          <w:color w:val="0000FF"/>
          <w:sz w:val="22"/>
          <w:u w:val="single" w:color="0000FF"/>
        </w:rPr>
        <w:t>h</w:t>
      </w:r>
      <w:r w:rsidRPr="0020175D">
        <w:rPr>
          <w:color w:val="0000FF"/>
          <w:spacing w:val="-1"/>
          <w:sz w:val="22"/>
          <w:u w:val="single" w:color="0000FF"/>
        </w:rPr>
        <w:t>t</w:t>
      </w:r>
      <w:r w:rsidRPr="0020175D">
        <w:rPr>
          <w:color w:val="0000FF"/>
          <w:spacing w:val="1"/>
          <w:sz w:val="22"/>
          <w:u w:val="single" w:color="0000FF"/>
        </w:rPr>
        <w:t>t</w:t>
      </w:r>
      <w:r w:rsidRPr="0020175D">
        <w:rPr>
          <w:color w:val="0000FF"/>
          <w:spacing w:val="-2"/>
          <w:sz w:val="22"/>
          <w:u w:val="single" w:color="0000FF"/>
        </w:rPr>
        <w:t>p</w:t>
      </w:r>
      <w:r w:rsidRPr="0020175D">
        <w:rPr>
          <w:color w:val="0000FF"/>
          <w:spacing w:val="1"/>
          <w:sz w:val="22"/>
          <w:u w:val="single" w:color="0000FF"/>
        </w:rPr>
        <w:t>:</w:t>
      </w:r>
      <w:r w:rsidRPr="0020175D">
        <w:rPr>
          <w:color w:val="0000FF"/>
          <w:spacing w:val="-1"/>
          <w:sz w:val="22"/>
          <w:u w:val="single" w:color="0000FF"/>
        </w:rPr>
        <w:t>/</w:t>
      </w:r>
      <w:r w:rsidRPr="0020175D">
        <w:rPr>
          <w:color w:val="0000FF"/>
          <w:spacing w:val="1"/>
          <w:sz w:val="22"/>
          <w:u w:val="single" w:color="0000FF"/>
        </w:rPr>
        <w:t>/</w:t>
      </w:r>
      <w:r w:rsidRPr="0020175D">
        <w:rPr>
          <w:color w:val="0000FF"/>
          <w:spacing w:val="-1"/>
          <w:sz w:val="22"/>
          <w:u w:val="single" w:color="0000FF"/>
        </w:rPr>
        <w:t>www</w:t>
      </w:r>
      <w:r w:rsidRPr="0020175D">
        <w:rPr>
          <w:color w:val="0000FF"/>
          <w:sz w:val="22"/>
          <w:u w:val="single" w:color="0000FF"/>
        </w:rPr>
        <w:t>.cdc.</w:t>
      </w:r>
      <w:r w:rsidRPr="0020175D">
        <w:rPr>
          <w:color w:val="0000FF"/>
          <w:spacing w:val="-2"/>
          <w:sz w:val="22"/>
          <w:u w:val="single" w:color="0000FF"/>
        </w:rPr>
        <w:t>g</w:t>
      </w:r>
      <w:r w:rsidRPr="0020175D">
        <w:rPr>
          <w:color w:val="0000FF"/>
          <w:sz w:val="22"/>
          <w:u w:val="single" w:color="0000FF"/>
        </w:rPr>
        <w:t>o</w:t>
      </w:r>
      <w:r w:rsidRPr="0020175D">
        <w:rPr>
          <w:color w:val="0000FF"/>
          <w:spacing w:val="-2"/>
          <w:sz w:val="22"/>
          <w:u w:val="single" w:color="0000FF"/>
        </w:rPr>
        <w:t>v</w:t>
      </w:r>
      <w:r w:rsidRPr="0020175D">
        <w:rPr>
          <w:color w:val="0000FF"/>
          <w:spacing w:val="1"/>
          <w:sz w:val="22"/>
          <w:u w:val="single" w:color="0000FF"/>
        </w:rPr>
        <w:t>/</w:t>
      </w:r>
      <w:r w:rsidRPr="0020175D">
        <w:rPr>
          <w:color w:val="0000FF"/>
          <w:sz w:val="22"/>
          <w:u w:val="single" w:color="0000FF"/>
        </w:rPr>
        <w:t>a</w:t>
      </w:r>
      <w:r w:rsidRPr="0020175D">
        <w:rPr>
          <w:color w:val="0000FF"/>
          <w:spacing w:val="1"/>
          <w:sz w:val="22"/>
          <w:u w:val="single" w:color="0000FF"/>
        </w:rPr>
        <w:t>rt</w:t>
      </w:r>
      <w:r w:rsidRPr="0020175D">
        <w:rPr>
          <w:color w:val="0000FF"/>
          <w:spacing w:val="-2"/>
          <w:sz w:val="22"/>
          <w:u w:val="single" w:color="0000FF"/>
        </w:rPr>
        <w:t>h</w:t>
      </w:r>
      <w:r w:rsidRPr="0020175D">
        <w:rPr>
          <w:color w:val="0000FF"/>
          <w:spacing w:val="1"/>
          <w:sz w:val="22"/>
          <w:u w:val="single" w:color="0000FF"/>
        </w:rPr>
        <w:t>r</w:t>
      </w:r>
      <w:r w:rsidRPr="0020175D">
        <w:rPr>
          <w:color w:val="0000FF"/>
          <w:spacing w:val="-1"/>
          <w:sz w:val="22"/>
          <w:u w:val="single" w:color="0000FF"/>
        </w:rPr>
        <w:t>i</w:t>
      </w:r>
      <w:r w:rsidRPr="0020175D">
        <w:rPr>
          <w:color w:val="0000FF"/>
          <w:spacing w:val="1"/>
          <w:sz w:val="22"/>
          <w:u w:val="single" w:color="0000FF"/>
        </w:rPr>
        <w:t>ti</w:t>
      </w:r>
      <w:r w:rsidRPr="0020175D">
        <w:rPr>
          <w:color w:val="0000FF"/>
          <w:spacing w:val="-2"/>
          <w:sz w:val="22"/>
          <w:u w:val="single" w:color="0000FF"/>
        </w:rPr>
        <w:t>s</w:t>
      </w:r>
      <w:r w:rsidRPr="0020175D">
        <w:rPr>
          <w:color w:val="0000FF"/>
          <w:sz w:val="22"/>
          <w:u w:val="single" w:color="0000FF"/>
        </w:rPr>
        <w:t>/</w:t>
      </w:r>
    </w:hyperlink>
  </w:p>
  <w:p w14:paraId="51D13A0A" w14:textId="153641C9" w:rsidR="001D2BBA" w:rsidRPr="0020175D" w:rsidRDefault="001D2BBA" w:rsidP="0020175D">
    <w:pPr>
      <w:jc w:val="both"/>
      <w:rPr>
        <w:color w:val="0000FF"/>
        <w:sz w:val="22"/>
        <w:u w:val="single" w:color="0000FF"/>
      </w:rPr>
    </w:pPr>
    <w:r w:rsidRPr="0020175D">
      <w:rPr>
        <w:spacing w:val="-1"/>
        <w:sz w:val="22"/>
      </w:rPr>
      <w:t>C</w:t>
    </w:r>
    <w:r w:rsidRPr="0020175D">
      <w:rPr>
        <w:sz w:val="22"/>
      </w:rPr>
      <w:t>on</w:t>
    </w:r>
    <w:r w:rsidRPr="0020175D">
      <w:rPr>
        <w:spacing w:val="1"/>
        <w:sz w:val="22"/>
      </w:rPr>
      <w:t>t</w:t>
    </w:r>
    <w:r w:rsidRPr="0020175D">
      <w:rPr>
        <w:sz w:val="22"/>
      </w:rPr>
      <w:t>a</w:t>
    </w:r>
    <w:r w:rsidRPr="0020175D">
      <w:rPr>
        <w:spacing w:val="-2"/>
        <w:sz w:val="22"/>
      </w:rPr>
      <w:t>c</w:t>
    </w:r>
    <w:r w:rsidRPr="0020175D">
      <w:rPr>
        <w:spacing w:val="1"/>
        <w:sz w:val="22"/>
      </w:rPr>
      <w:t>t</w:t>
    </w:r>
    <w:r w:rsidRPr="0020175D">
      <w:rPr>
        <w:sz w:val="22"/>
      </w:rPr>
      <w:t>:</w:t>
    </w:r>
    <w:r w:rsidRPr="0020175D">
      <w:rPr>
        <w:spacing w:val="54"/>
        <w:sz w:val="22"/>
      </w:rPr>
      <w:t xml:space="preserve"> </w:t>
    </w:r>
    <w:r w:rsidRPr="0020175D">
      <w:rPr>
        <w:spacing w:val="-1"/>
        <w:sz w:val="22"/>
      </w:rPr>
      <w:t>Am</w:t>
    </w:r>
    <w:r w:rsidRPr="0020175D">
      <w:rPr>
        <w:sz w:val="22"/>
      </w:rPr>
      <w:t>y</w:t>
    </w:r>
    <w:r w:rsidRPr="0020175D">
      <w:rPr>
        <w:spacing w:val="-2"/>
        <w:sz w:val="22"/>
      </w:rPr>
      <w:t xml:space="preserve"> </w:t>
    </w:r>
    <w:r w:rsidRPr="0020175D">
      <w:rPr>
        <w:sz w:val="22"/>
      </w:rPr>
      <w:t>Soude</w:t>
    </w:r>
    <w:r w:rsidRPr="0020175D">
      <w:rPr>
        <w:spacing w:val="1"/>
        <w:sz w:val="22"/>
      </w:rPr>
      <w:t>r</w:t>
    </w:r>
    <w:r w:rsidRPr="0020175D">
      <w:rPr>
        <w:sz w:val="22"/>
      </w:rPr>
      <w:t>s, C</w:t>
    </w:r>
    <w:r w:rsidRPr="0020175D">
      <w:rPr>
        <w:spacing w:val="-3"/>
        <w:sz w:val="22"/>
      </w:rPr>
      <w:t>o</w:t>
    </w:r>
    <w:r w:rsidRPr="0020175D">
      <w:rPr>
        <w:spacing w:val="1"/>
        <w:sz w:val="22"/>
      </w:rPr>
      <w:t>r</w:t>
    </w:r>
    <w:r w:rsidRPr="0020175D">
      <w:rPr>
        <w:sz w:val="22"/>
      </w:rPr>
      <w:t>ne</w:t>
    </w:r>
    <w:r w:rsidRPr="0020175D">
      <w:rPr>
        <w:spacing w:val="-1"/>
        <w:sz w:val="22"/>
      </w:rPr>
      <w:t>r</w:t>
    </w:r>
    <w:r w:rsidRPr="0020175D">
      <w:rPr>
        <w:sz w:val="22"/>
      </w:rPr>
      <w:t>s</w:t>
    </w:r>
    <w:r w:rsidRPr="0020175D">
      <w:rPr>
        <w:spacing w:val="1"/>
        <w:sz w:val="22"/>
      </w:rPr>
      <w:t>t</w:t>
    </w:r>
    <w:r w:rsidRPr="0020175D">
      <w:rPr>
        <w:spacing w:val="-2"/>
        <w:sz w:val="22"/>
      </w:rPr>
      <w:t>o</w:t>
    </w:r>
    <w:r w:rsidRPr="0020175D">
      <w:rPr>
        <w:sz w:val="22"/>
      </w:rPr>
      <w:t>ne Go</w:t>
    </w:r>
    <w:r w:rsidRPr="0020175D">
      <w:rPr>
        <w:spacing w:val="-3"/>
        <w:sz w:val="22"/>
      </w:rPr>
      <w:t>v</w:t>
    </w:r>
    <w:r w:rsidRPr="0020175D">
      <w:rPr>
        <w:sz w:val="22"/>
      </w:rPr>
      <w:t>e</w:t>
    </w:r>
    <w:r w:rsidRPr="0020175D">
      <w:rPr>
        <w:spacing w:val="1"/>
        <w:sz w:val="22"/>
      </w:rPr>
      <w:t>r</w:t>
    </w:r>
    <w:r w:rsidRPr="0020175D">
      <w:rPr>
        <w:sz w:val="22"/>
      </w:rPr>
      <w:t>n</w:t>
    </w:r>
    <w:r w:rsidRPr="0020175D">
      <w:rPr>
        <w:spacing w:val="-4"/>
        <w:sz w:val="22"/>
      </w:rPr>
      <w:t>m</w:t>
    </w:r>
    <w:r w:rsidRPr="0020175D">
      <w:rPr>
        <w:sz w:val="22"/>
      </w:rPr>
      <w:t>ent</w:t>
    </w:r>
    <w:r w:rsidRPr="0020175D">
      <w:rPr>
        <w:spacing w:val="1"/>
        <w:sz w:val="22"/>
      </w:rPr>
      <w:t xml:space="preserve"> </w:t>
    </w:r>
    <w:r w:rsidRPr="0020175D">
      <w:rPr>
        <w:spacing w:val="-1"/>
        <w:sz w:val="22"/>
      </w:rPr>
      <w:t>A</w:t>
    </w:r>
    <w:r w:rsidRPr="0020175D">
      <w:rPr>
        <w:spacing w:val="-2"/>
        <w:sz w:val="22"/>
      </w:rPr>
      <w:t>f</w:t>
    </w:r>
    <w:r w:rsidRPr="0020175D">
      <w:rPr>
        <w:spacing w:val="1"/>
        <w:sz w:val="22"/>
      </w:rPr>
      <w:t>f</w:t>
    </w:r>
    <w:r w:rsidRPr="0020175D">
      <w:rPr>
        <w:spacing w:val="-2"/>
        <w:sz w:val="22"/>
      </w:rPr>
      <w:t>a</w:t>
    </w:r>
    <w:r w:rsidRPr="0020175D">
      <w:rPr>
        <w:spacing w:val="1"/>
        <w:sz w:val="22"/>
      </w:rPr>
      <w:t>ir</w:t>
    </w:r>
    <w:r w:rsidRPr="0020175D">
      <w:rPr>
        <w:spacing w:val="4"/>
        <w:sz w:val="22"/>
      </w:rPr>
      <w:t>s</w:t>
    </w:r>
    <w:r w:rsidRPr="0020175D">
      <w:rPr>
        <w:sz w:val="22"/>
      </w:rPr>
      <w:t>.</w:t>
    </w:r>
    <w:r w:rsidRPr="0020175D">
      <w:rPr>
        <w:spacing w:val="-2"/>
        <w:sz w:val="22"/>
      </w:rPr>
      <w:t xml:space="preserve"> </w:t>
    </w:r>
    <w:r w:rsidRPr="0020175D">
      <w:rPr>
        <w:spacing w:val="1"/>
        <w:sz w:val="22"/>
      </w:rPr>
      <w:t>(</w:t>
    </w:r>
    <w:r w:rsidRPr="0020175D">
      <w:rPr>
        <w:sz w:val="22"/>
      </w:rPr>
      <w:t>20</w:t>
    </w:r>
    <w:r w:rsidRPr="0020175D">
      <w:rPr>
        <w:spacing w:val="-2"/>
        <w:sz w:val="22"/>
      </w:rPr>
      <w:t>2</w:t>
    </w:r>
    <w:r w:rsidRPr="0020175D">
      <w:rPr>
        <w:sz w:val="22"/>
      </w:rPr>
      <w:t>)</w:t>
    </w:r>
    <w:r w:rsidRPr="0020175D">
      <w:rPr>
        <w:spacing w:val="1"/>
        <w:sz w:val="22"/>
      </w:rPr>
      <w:t xml:space="preserve"> </w:t>
    </w:r>
    <w:r w:rsidRPr="0020175D">
      <w:rPr>
        <w:sz w:val="22"/>
      </w:rPr>
      <w:t>48</w:t>
    </w:r>
    <w:r w:rsidRPr="0020175D">
      <w:rPr>
        <w:spacing w:val="1"/>
        <w:sz w:val="22"/>
      </w:rPr>
      <w:t>8</w:t>
    </w:r>
    <w:r w:rsidRPr="0020175D">
      <w:rPr>
        <w:spacing w:val="-4"/>
        <w:sz w:val="22"/>
      </w:rPr>
      <w:t>-</w:t>
    </w:r>
    <w:r w:rsidRPr="0020175D">
      <w:rPr>
        <w:sz w:val="22"/>
      </w:rPr>
      <w:t xml:space="preserve">9500 or </w:t>
    </w:r>
    <w:r w:rsidRPr="0020175D">
      <w:rPr>
        <w:color w:val="0000FF"/>
        <w:sz w:val="22"/>
        <w:u w:val="single" w:color="0000FF"/>
      </w:rPr>
      <w:t>a</w:t>
    </w:r>
    <w:r w:rsidRPr="0020175D">
      <w:rPr>
        <w:color w:val="0000FF"/>
        <w:spacing w:val="1"/>
        <w:sz w:val="22"/>
        <w:u w:val="single" w:color="0000FF"/>
      </w:rPr>
      <w:t>s</w:t>
    </w:r>
    <w:r w:rsidRPr="0020175D">
      <w:rPr>
        <w:color w:val="0000FF"/>
        <w:sz w:val="22"/>
        <w:u w:val="single" w:color="0000FF"/>
      </w:rPr>
      <w:t>o</w:t>
    </w:r>
    <w:r w:rsidRPr="0020175D">
      <w:rPr>
        <w:color w:val="0000FF"/>
        <w:spacing w:val="-2"/>
        <w:sz w:val="22"/>
        <w:u w:val="single" w:color="0000FF"/>
      </w:rPr>
      <w:t>u</w:t>
    </w:r>
    <w:r w:rsidRPr="0020175D">
      <w:rPr>
        <w:color w:val="0000FF"/>
        <w:sz w:val="22"/>
        <w:u w:val="single" w:color="0000FF"/>
      </w:rPr>
      <w:t>de</w:t>
    </w:r>
    <w:r w:rsidRPr="0020175D">
      <w:rPr>
        <w:color w:val="0000FF"/>
        <w:spacing w:val="1"/>
        <w:sz w:val="22"/>
        <w:u w:val="single" w:color="0000FF"/>
      </w:rPr>
      <w:t>r</w:t>
    </w:r>
    <w:r w:rsidRPr="0020175D">
      <w:rPr>
        <w:color w:val="0000FF"/>
        <w:sz w:val="22"/>
        <w:u w:val="single" w:color="0000FF"/>
      </w:rPr>
      <w:t>s</w:t>
    </w:r>
    <w:r w:rsidRPr="0020175D">
      <w:rPr>
        <w:color w:val="0000FF"/>
        <w:spacing w:val="-1"/>
        <w:sz w:val="22"/>
        <w:u w:val="single" w:color="0000FF"/>
      </w:rPr>
      <w:t>@</w:t>
    </w:r>
    <w:r w:rsidRPr="0020175D">
      <w:rPr>
        <w:color w:val="0000FF"/>
        <w:sz w:val="22"/>
        <w:u w:val="single" w:color="0000FF"/>
      </w:rPr>
      <w:t>c</w:t>
    </w:r>
    <w:r w:rsidRPr="0020175D">
      <w:rPr>
        <w:color w:val="0000FF"/>
        <w:spacing w:val="-2"/>
        <w:sz w:val="22"/>
        <w:u w:val="single" w:color="0000FF"/>
      </w:rPr>
      <w:t>g</w:t>
    </w:r>
    <w:r w:rsidRPr="0020175D">
      <w:rPr>
        <w:color w:val="0000FF"/>
        <w:sz w:val="22"/>
        <w:u w:val="single" w:color="0000FF"/>
      </w:rPr>
      <w:t>a</w:t>
    </w:r>
    <w:r w:rsidRPr="0020175D">
      <w:rPr>
        <w:color w:val="0000FF"/>
        <w:spacing w:val="-2"/>
        <w:sz w:val="22"/>
        <w:u w:val="single" w:color="0000FF"/>
      </w:rPr>
      <w:t>g</w:t>
    </w:r>
    <w:r w:rsidRPr="0020175D">
      <w:rPr>
        <w:color w:val="0000FF"/>
        <w:spacing w:val="1"/>
        <w:sz w:val="22"/>
        <w:u w:val="single" w:color="0000FF"/>
      </w:rPr>
      <w:t>r</w:t>
    </w:r>
    <w:r w:rsidRPr="0020175D">
      <w:rPr>
        <w:color w:val="0000FF"/>
        <w:sz w:val="22"/>
        <w:u w:val="single" w:color="0000FF"/>
      </w:rPr>
      <w:t>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C19B" w14:textId="77777777" w:rsidR="00DC39C8" w:rsidRDefault="00DC39C8" w:rsidP="0078303B">
      <w:r>
        <w:separator/>
      </w:r>
    </w:p>
  </w:footnote>
  <w:footnote w:type="continuationSeparator" w:id="0">
    <w:p w14:paraId="49D1709B" w14:textId="77777777" w:rsidR="00DC39C8" w:rsidRDefault="00DC39C8" w:rsidP="0078303B">
      <w:r>
        <w:continuationSeparator/>
      </w:r>
    </w:p>
  </w:footnote>
  <w:footnote w:type="continuationNotice" w:id="1">
    <w:p w14:paraId="77D39123" w14:textId="77777777" w:rsidR="00DC39C8" w:rsidRDefault="00DC3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9DBB" w14:textId="521048DE" w:rsidR="00986323" w:rsidRDefault="00986323" w:rsidP="00986323">
    <w:pPr>
      <w:pStyle w:val="Header"/>
      <w:jc w:val="center"/>
    </w:pPr>
    <w:r>
      <w:rPr>
        <w:noProof/>
      </w:rPr>
      <w:drawing>
        <wp:inline distT="0" distB="0" distL="0" distR="0" wp14:anchorId="55C8400B" wp14:editId="7E4DC633">
          <wp:extent cx="4135755" cy="877570"/>
          <wp:effectExtent l="0" t="0" r="0" b="0"/>
          <wp:docPr id="1789871945" name="Picture 1789871945"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t="15867" b="17984"/>
                  <a:stretch/>
                </pic:blipFill>
                <pic:spPr bwMode="auto">
                  <a:xfrm>
                    <a:off x="0" y="0"/>
                    <a:ext cx="4135755" cy="8775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DA2" w14:textId="5295DFB2" w:rsidR="001D2BBA" w:rsidRDefault="001D2BBA">
    <w:pPr>
      <w:pStyle w:val="Header"/>
    </w:pPr>
    <w:r>
      <w:rPr>
        <w:noProof/>
      </w:rPr>
      <w:drawing>
        <wp:anchor distT="0" distB="0" distL="114300" distR="114300" simplePos="0" relativeHeight="251658240" behindDoc="1" locked="0" layoutInCell="1" allowOverlap="1" wp14:anchorId="5AB38F1F" wp14:editId="2F35AAEF">
          <wp:simplePos x="0" y="0"/>
          <wp:positionH relativeFrom="margin">
            <wp:align>center</wp:align>
          </wp:positionH>
          <wp:positionV relativeFrom="paragraph">
            <wp:posOffset>-67310</wp:posOffset>
          </wp:positionV>
          <wp:extent cx="4136301" cy="877824"/>
          <wp:effectExtent l="0" t="0" r="0" b="0"/>
          <wp:wrapTight wrapText="bothSides">
            <wp:wrapPolygon edited="0">
              <wp:start x="0" y="0"/>
              <wp:lineTo x="0" y="21100"/>
              <wp:lineTo x="21491" y="21100"/>
              <wp:lineTo x="21491" y="0"/>
              <wp:lineTo x="0" y="0"/>
            </wp:wrapPolygon>
          </wp:wrapTight>
          <wp:docPr id="1940780641" name="Picture 194078064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5867" b="17984"/>
                  <a:stretch/>
                </pic:blipFill>
                <pic:spPr bwMode="auto">
                  <a:xfrm>
                    <a:off x="0" y="0"/>
                    <a:ext cx="4136301" cy="8778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963"/>
    <w:multiLevelType w:val="hybridMultilevel"/>
    <w:tmpl w:val="6534D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425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72"/>
    <w:rsid w:val="000007DE"/>
    <w:rsid w:val="000161B4"/>
    <w:rsid w:val="000261EE"/>
    <w:rsid w:val="0004701F"/>
    <w:rsid w:val="000523A1"/>
    <w:rsid w:val="00052A88"/>
    <w:rsid w:val="000578CC"/>
    <w:rsid w:val="0006342E"/>
    <w:rsid w:val="00063B40"/>
    <w:rsid w:val="00066575"/>
    <w:rsid w:val="00066CB5"/>
    <w:rsid w:val="00070383"/>
    <w:rsid w:val="00071386"/>
    <w:rsid w:val="00073DF3"/>
    <w:rsid w:val="000769E8"/>
    <w:rsid w:val="000803A0"/>
    <w:rsid w:val="00082977"/>
    <w:rsid w:val="00085209"/>
    <w:rsid w:val="000A42F3"/>
    <w:rsid w:val="000B2F0E"/>
    <w:rsid w:val="000B394C"/>
    <w:rsid w:val="000B6B19"/>
    <w:rsid w:val="000B7E22"/>
    <w:rsid w:val="000C110E"/>
    <w:rsid w:val="000C1AA1"/>
    <w:rsid w:val="000D46FB"/>
    <w:rsid w:val="000D4D98"/>
    <w:rsid w:val="000E090C"/>
    <w:rsid w:val="000E1E01"/>
    <w:rsid w:val="000E7112"/>
    <w:rsid w:val="000F13E9"/>
    <w:rsid w:val="001007EF"/>
    <w:rsid w:val="001165ED"/>
    <w:rsid w:val="001264B1"/>
    <w:rsid w:val="001320CC"/>
    <w:rsid w:val="00136E2D"/>
    <w:rsid w:val="00166BBA"/>
    <w:rsid w:val="00174B15"/>
    <w:rsid w:val="001758AD"/>
    <w:rsid w:val="0017633D"/>
    <w:rsid w:val="00176E4C"/>
    <w:rsid w:val="00184A35"/>
    <w:rsid w:val="00185609"/>
    <w:rsid w:val="00192C3B"/>
    <w:rsid w:val="00197E45"/>
    <w:rsid w:val="001A6C9F"/>
    <w:rsid w:val="001C7763"/>
    <w:rsid w:val="001D2BBA"/>
    <w:rsid w:val="001D3232"/>
    <w:rsid w:val="001F300B"/>
    <w:rsid w:val="0020175D"/>
    <w:rsid w:val="00202F63"/>
    <w:rsid w:val="002157DF"/>
    <w:rsid w:val="00217866"/>
    <w:rsid w:val="002240A1"/>
    <w:rsid w:val="002278F6"/>
    <w:rsid w:val="0023597B"/>
    <w:rsid w:val="0024377C"/>
    <w:rsid w:val="00246FE2"/>
    <w:rsid w:val="002502AB"/>
    <w:rsid w:val="00271F12"/>
    <w:rsid w:val="00276892"/>
    <w:rsid w:val="00277692"/>
    <w:rsid w:val="0027792B"/>
    <w:rsid w:val="00293FA2"/>
    <w:rsid w:val="002A4AF2"/>
    <w:rsid w:val="002A4C99"/>
    <w:rsid w:val="002B4254"/>
    <w:rsid w:val="002B5DB2"/>
    <w:rsid w:val="002B5EE0"/>
    <w:rsid w:val="002B7C82"/>
    <w:rsid w:val="002C1242"/>
    <w:rsid w:val="002C395C"/>
    <w:rsid w:val="002C5F62"/>
    <w:rsid w:val="002D4900"/>
    <w:rsid w:val="002E0999"/>
    <w:rsid w:val="002E25E7"/>
    <w:rsid w:val="002E450C"/>
    <w:rsid w:val="002E4EE8"/>
    <w:rsid w:val="002F2C37"/>
    <w:rsid w:val="002F4FAC"/>
    <w:rsid w:val="003023DD"/>
    <w:rsid w:val="00307944"/>
    <w:rsid w:val="00312479"/>
    <w:rsid w:val="0031727F"/>
    <w:rsid w:val="003236E2"/>
    <w:rsid w:val="00333A53"/>
    <w:rsid w:val="00333C60"/>
    <w:rsid w:val="0033432B"/>
    <w:rsid w:val="00336C55"/>
    <w:rsid w:val="0034094B"/>
    <w:rsid w:val="003502F5"/>
    <w:rsid w:val="00353CF0"/>
    <w:rsid w:val="00371147"/>
    <w:rsid w:val="0037254E"/>
    <w:rsid w:val="00375C34"/>
    <w:rsid w:val="003831E4"/>
    <w:rsid w:val="00394E72"/>
    <w:rsid w:val="003B2490"/>
    <w:rsid w:val="003B3228"/>
    <w:rsid w:val="003B6401"/>
    <w:rsid w:val="003C36BE"/>
    <w:rsid w:val="003C5DBA"/>
    <w:rsid w:val="003D57E4"/>
    <w:rsid w:val="003E2548"/>
    <w:rsid w:val="003F09D6"/>
    <w:rsid w:val="003F4528"/>
    <w:rsid w:val="003F5233"/>
    <w:rsid w:val="00402416"/>
    <w:rsid w:val="004106C7"/>
    <w:rsid w:val="00414E47"/>
    <w:rsid w:val="00426021"/>
    <w:rsid w:val="00435D76"/>
    <w:rsid w:val="00440339"/>
    <w:rsid w:val="0044171D"/>
    <w:rsid w:val="004531BF"/>
    <w:rsid w:val="00463298"/>
    <w:rsid w:val="00464392"/>
    <w:rsid w:val="00483EE0"/>
    <w:rsid w:val="00485368"/>
    <w:rsid w:val="00487C39"/>
    <w:rsid w:val="00496C81"/>
    <w:rsid w:val="004A1C97"/>
    <w:rsid w:val="004A519C"/>
    <w:rsid w:val="004A5CC9"/>
    <w:rsid w:val="004B16BF"/>
    <w:rsid w:val="004C3E4F"/>
    <w:rsid w:val="004D5AF2"/>
    <w:rsid w:val="004E5604"/>
    <w:rsid w:val="004E7B42"/>
    <w:rsid w:val="004F10A5"/>
    <w:rsid w:val="004F4480"/>
    <w:rsid w:val="005156D7"/>
    <w:rsid w:val="005314B6"/>
    <w:rsid w:val="005406E8"/>
    <w:rsid w:val="00541318"/>
    <w:rsid w:val="005422C9"/>
    <w:rsid w:val="00553397"/>
    <w:rsid w:val="00553640"/>
    <w:rsid w:val="00555559"/>
    <w:rsid w:val="0056057C"/>
    <w:rsid w:val="00572895"/>
    <w:rsid w:val="005947A5"/>
    <w:rsid w:val="00596185"/>
    <w:rsid w:val="00596C5D"/>
    <w:rsid w:val="005A4DD7"/>
    <w:rsid w:val="005A705D"/>
    <w:rsid w:val="005B18EC"/>
    <w:rsid w:val="005B41D0"/>
    <w:rsid w:val="005B6685"/>
    <w:rsid w:val="005C485B"/>
    <w:rsid w:val="005E39CA"/>
    <w:rsid w:val="005E49C8"/>
    <w:rsid w:val="005F2B6A"/>
    <w:rsid w:val="005F427A"/>
    <w:rsid w:val="005F7CDF"/>
    <w:rsid w:val="00603936"/>
    <w:rsid w:val="0060394A"/>
    <w:rsid w:val="00604E7D"/>
    <w:rsid w:val="0061564F"/>
    <w:rsid w:val="00621397"/>
    <w:rsid w:val="006242BC"/>
    <w:rsid w:val="00631FA6"/>
    <w:rsid w:val="0063612B"/>
    <w:rsid w:val="00636EEE"/>
    <w:rsid w:val="00644323"/>
    <w:rsid w:val="00656E8C"/>
    <w:rsid w:val="00660057"/>
    <w:rsid w:val="00663CD3"/>
    <w:rsid w:val="00664F9C"/>
    <w:rsid w:val="006657DD"/>
    <w:rsid w:val="006721C1"/>
    <w:rsid w:val="00672714"/>
    <w:rsid w:val="00680AFD"/>
    <w:rsid w:val="006864B9"/>
    <w:rsid w:val="00691A90"/>
    <w:rsid w:val="006A0416"/>
    <w:rsid w:val="006A25EF"/>
    <w:rsid w:val="006A3009"/>
    <w:rsid w:val="006A5C90"/>
    <w:rsid w:val="006A66E6"/>
    <w:rsid w:val="006B61DA"/>
    <w:rsid w:val="006C35EB"/>
    <w:rsid w:val="006D1E3D"/>
    <w:rsid w:val="006D6354"/>
    <w:rsid w:val="006D6BA1"/>
    <w:rsid w:val="006E0233"/>
    <w:rsid w:val="006E4FD7"/>
    <w:rsid w:val="00701759"/>
    <w:rsid w:val="00704755"/>
    <w:rsid w:val="0071243F"/>
    <w:rsid w:val="00713D1A"/>
    <w:rsid w:val="0071573A"/>
    <w:rsid w:val="00723440"/>
    <w:rsid w:val="007253F0"/>
    <w:rsid w:val="00727875"/>
    <w:rsid w:val="007406E7"/>
    <w:rsid w:val="00750F40"/>
    <w:rsid w:val="007539E1"/>
    <w:rsid w:val="00754979"/>
    <w:rsid w:val="00756746"/>
    <w:rsid w:val="0076060B"/>
    <w:rsid w:val="007755C8"/>
    <w:rsid w:val="00776C18"/>
    <w:rsid w:val="00780171"/>
    <w:rsid w:val="007803D6"/>
    <w:rsid w:val="007805A3"/>
    <w:rsid w:val="0078303B"/>
    <w:rsid w:val="0078379E"/>
    <w:rsid w:val="00785D4F"/>
    <w:rsid w:val="007871E5"/>
    <w:rsid w:val="007A021E"/>
    <w:rsid w:val="007A06E6"/>
    <w:rsid w:val="007A44C0"/>
    <w:rsid w:val="007B1E89"/>
    <w:rsid w:val="007B66FA"/>
    <w:rsid w:val="007C34E6"/>
    <w:rsid w:val="007C4255"/>
    <w:rsid w:val="007D1DA6"/>
    <w:rsid w:val="007D5EDF"/>
    <w:rsid w:val="007D6F44"/>
    <w:rsid w:val="007E4A54"/>
    <w:rsid w:val="007E4B67"/>
    <w:rsid w:val="00812BDF"/>
    <w:rsid w:val="00814138"/>
    <w:rsid w:val="0081688D"/>
    <w:rsid w:val="00816AFB"/>
    <w:rsid w:val="00830F8D"/>
    <w:rsid w:val="00831FCF"/>
    <w:rsid w:val="00835A38"/>
    <w:rsid w:val="00842BBF"/>
    <w:rsid w:val="00844307"/>
    <w:rsid w:val="00863E4B"/>
    <w:rsid w:val="00873442"/>
    <w:rsid w:val="008802CB"/>
    <w:rsid w:val="0088183A"/>
    <w:rsid w:val="008825A8"/>
    <w:rsid w:val="00884A41"/>
    <w:rsid w:val="008A451D"/>
    <w:rsid w:val="008B0DC0"/>
    <w:rsid w:val="008B1C52"/>
    <w:rsid w:val="008B4028"/>
    <w:rsid w:val="008D7AC7"/>
    <w:rsid w:val="008E148B"/>
    <w:rsid w:val="008E1F46"/>
    <w:rsid w:val="008E4F0F"/>
    <w:rsid w:val="008F0633"/>
    <w:rsid w:val="00900CB0"/>
    <w:rsid w:val="009029BF"/>
    <w:rsid w:val="009078BF"/>
    <w:rsid w:val="00907BC5"/>
    <w:rsid w:val="00911A00"/>
    <w:rsid w:val="00913761"/>
    <w:rsid w:val="00914496"/>
    <w:rsid w:val="00922AF3"/>
    <w:rsid w:val="0093647A"/>
    <w:rsid w:val="00943A4F"/>
    <w:rsid w:val="00965A74"/>
    <w:rsid w:val="009674B2"/>
    <w:rsid w:val="009746BA"/>
    <w:rsid w:val="00975D55"/>
    <w:rsid w:val="00976907"/>
    <w:rsid w:val="00980C70"/>
    <w:rsid w:val="009856DB"/>
    <w:rsid w:val="00986323"/>
    <w:rsid w:val="00992C55"/>
    <w:rsid w:val="009A7405"/>
    <w:rsid w:val="009B01CC"/>
    <w:rsid w:val="009B37A7"/>
    <w:rsid w:val="009B3CF4"/>
    <w:rsid w:val="009B649B"/>
    <w:rsid w:val="009C60A8"/>
    <w:rsid w:val="009C7130"/>
    <w:rsid w:val="009D1283"/>
    <w:rsid w:val="009D33D1"/>
    <w:rsid w:val="009D6E9B"/>
    <w:rsid w:val="00A033F0"/>
    <w:rsid w:val="00A03F5B"/>
    <w:rsid w:val="00A06995"/>
    <w:rsid w:val="00A177A4"/>
    <w:rsid w:val="00A2028D"/>
    <w:rsid w:val="00A376AB"/>
    <w:rsid w:val="00A50DB8"/>
    <w:rsid w:val="00A5150B"/>
    <w:rsid w:val="00A53878"/>
    <w:rsid w:val="00A6426C"/>
    <w:rsid w:val="00A64AE5"/>
    <w:rsid w:val="00A722C6"/>
    <w:rsid w:val="00A74662"/>
    <w:rsid w:val="00A81B75"/>
    <w:rsid w:val="00A86105"/>
    <w:rsid w:val="00A87C62"/>
    <w:rsid w:val="00AA65F6"/>
    <w:rsid w:val="00AA6FDC"/>
    <w:rsid w:val="00AB1367"/>
    <w:rsid w:val="00AB1E70"/>
    <w:rsid w:val="00AB6236"/>
    <w:rsid w:val="00AB72EA"/>
    <w:rsid w:val="00AC4BBC"/>
    <w:rsid w:val="00AD1F62"/>
    <w:rsid w:val="00AE01D9"/>
    <w:rsid w:val="00AE2A6D"/>
    <w:rsid w:val="00AE6AAF"/>
    <w:rsid w:val="00AF0433"/>
    <w:rsid w:val="00B009EB"/>
    <w:rsid w:val="00B02DF1"/>
    <w:rsid w:val="00B03FE5"/>
    <w:rsid w:val="00B05A72"/>
    <w:rsid w:val="00B131C9"/>
    <w:rsid w:val="00B17ABB"/>
    <w:rsid w:val="00B20EA1"/>
    <w:rsid w:val="00B3001E"/>
    <w:rsid w:val="00B30648"/>
    <w:rsid w:val="00B320C7"/>
    <w:rsid w:val="00B35332"/>
    <w:rsid w:val="00B3598C"/>
    <w:rsid w:val="00B36EB5"/>
    <w:rsid w:val="00B41ED2"/>
    <w:rsid w:val="00B42EBD"/>
    <w:rsid w:val="00B43538"/>
    <w:rsid w:val="00B4372A"/>
    <w:rsid w:val="00B50654"/>
    <w:rsid w:val="00B54CCA"/>
    <w:rsid w:val="00B54EE8"/>
    <w:rsid w:val="00B61EF6"/>
    <w:rsid w:val="00B61F95"/>
    <w:rsid w:val="00B62FAA"/>
    <w:rsid w:val="00B6419B"/>
    <w:rsid w:val="00B66AD3"/>
    <w:rsid w:val="00B679F5"/>
    <w:rsid w:val="00B716C6"/>
    <w:rsid w:val="00B71C25"/>
    <w:rsid w:val="00B7284D"/>
    <w:rsid w:val="00B75A26"/>
    <w:rsid w:val="00B85D1A"/>
    <w:rsid w:val="00B92D1F"/>
    <w:rsid w:val="00BA2F1B"/>
    <w:rsid w:val="00BA4BFE"/>
    <w:rsid w:val="00BA53B4"/>
    <w:rsid w:val="00BA5B96"/>
    <w:rsid w:val="00BA601A"/>
    <w:rsid w:val="00BA6403"/>
    <w:rsid w:val="00BB0531"/>
    <w:rsid w:val="00BB1C65"/>
    <w:rsid w:val="00BB7533"/>
    <w:rsid w:val="00BC1FA7"/>
    <w:rsid w:val="00BC31C8"/>
    <w:rsid w:val="00BC5459"/>
    <w:rsid w:val="00BC5C5C"/>
    <w:rsid w:val="00BD02DB"/>
    <w:rsid w:val="00BD1B8A"/>
    <w:rsid w:val="00BD60E9"/>
    <w:rsid w:val="00BD6383"/>
    <w:rsid w:val="00BD75C7"/>
    <w:rsid w:val="00C001F0"/>
    <w:rsid w:val="00C03548"/>
    <w:rsid w:val="00C11842"/>
    <w:rsid w:val="00C140B0"/>
    <w:rsid w:val="00C172B6"/>
    <w:rsid w:val="00C17B17"/>
    <w:rsid w:val="00C211D7"/>
    <w:rsid w:val="00C36B39"/>
    <w:rsid w:val="00C37CE1"/>
    <w:rsid w:val="00C41680"/>
    <w:rsid w:val="00C42450"/>
    <w:rsid w:val="00C47D69"/>
    <w:rsid w:val="00C47E08"/>
    <w:rsid w:val="00C50140"/>
    <w:rsid w:val="00C51FC1"/>
    <w:rsid w:val="00C53FD0"/>
    <w:rsid w:val="00C6120A"/>
    <w:rsid w:val="00C61F09"/>
    <w:rsid w:val="00C66DE8"/>
    <w:rsid w:val="00C72F7D"/>
    <w:rsid w:val="00C770E7"/>
    <w:rsid w:val="00C854F8"/>
    <w:rsid w:val="00C93F80"/>
    <w:rsid w:val="00C9635C"/>
    <w:rsid w:val="00C96E3E"/>
    <w:rsid w:val="00C97E28"/>
    <w:rsid w:val="00CA70BF"/>
    <w:rsid w:val="00CB2D45"/>
    <w:rsid w:val="00CB6840"/>
    <w:rsid w:val="00CB6C74"/>
    <w:rsid w:val="00CD7372"/>
    <w:rsid w:val="00CE60DA"/>
    <w:rsid w:val="00CF4210"/>
    <w:rsid w:val="00CF453A"/>
    <w:rsid w:val="00D0215A"/>
    <w:rsid w:val="00D233EF"/>
    <w:rsid w:val="00D27BDE"/>
    <w:rsid w:val="00D27D09"/>
    <w:rsid w:val="00D3343C"/>
    <w:rsid w:val="00D40B7D"/>
    <w:rsid w:val="00D462E5"/>
    <w:rsid w:val="00D46A07"/>
    <w:rsid w:val="00D501B8"/>
    <w:rsid w:val="00D55A98"/>
    <w:rsid w:val="00D7045A"/>
    <w:rsid w:val="00D750ED"/>
    <w:rsid w:val="00D77388"/>
    <w:rsid w:val="00D840F6"/>
    <w:rsid w:val="00D90A52"/>
    <w:rsid w:val="00D923C1"/>
    <w:rsid w:val="00D94EA6"/>
    <w:rsid w:val="00D97742"/>
    <w:rsid w:val="00DB41CC"/>
    <w:rsid w:val="00DC1A0E"/>
    <w:rsid w:val="00DC39C8"/>
    <w:rsid w:val="00DC75FF"/>
    <w:rsid w:val="00DD47C1"/>
    <w:rsid w:val="00DD72DE"/>
    <w:rsid w:val="00DF2237"/>
    <w:rsid w:val="00DF34CD"/>
    <w:rsid w:val="00DF7D01"/>
    <w:rsid w:val="00E004A3"/>
    <w:rsid w:val="00E019F8"/>
    <w:rsid w:val="00E0511B"/>
    <w:rsid w:val="00E07607"/>
    <w:rsid w:val="00E1262E"/>
    <w:rsid w:val="00E12F26"/>
    <w:rsid w:val="00E12F76"/>
    <w:rsid w:val="00E14A4A"/>
    <w:rsid w:val="00E17525"/>
    <w:rsid w:val="00E3126C"/>
    <w:rsid w:val="00E423AC"/>
    <w:rsid w:val="00E5243E"/>
    <w:rsid w:val="00E52936"/>
    <w:rsid w:val="00E565E2"/>
    <w:rsid w:val="00E62629"/>
    <w:rsid w:val="00E62A19"/>
    <w:rsid w:val="00E70D8F"/>
    <w:rsid w:val="00E7367D"/>
    <w:rsid w:val="00E74C56"/>
    <w:rsid w:val="00E86912"/>
    <w:rsid w:val="00E876CC"/>
    <w:rsid w:val="00EB28CE"/>
    <w:rsid w:val="00EB53A0"/>
    <w:rsid w:val="00EC175C"/>
    <w:rsid w:val="00EC4104"/>
    <w:rsid w:val="00EC5B9A"/>
    <w:rsid w:val="00ED12C3"/>
    <w:rsid w:val="00ED4F31"/>
    <w:rsid w:val="00EE4F64"/>
    <w:rsid w:val="00EF25D0"/>
    <w:rsid w:val="00EF3AE2"/>
    <w:rsid w:val="00F075B0"/>
    <w:rsid w:val="00F12BE9"/>
    <w:rsid w:val="00F133B8"/>
    <w:rsid w:val="00F143C6"/>
    <w:rsid w:val="00F16E8B"/>
    <w:rsid w:val="00F267C9"/>
    <w:rsid w:val="00F31156"/>
    <w:rsid w:val="00F33AE2"/>
    <w:rsid w:val="00F419B8"/>
    <w:rsid w:val="00F42665"/>
    <w:rsid w:val="00F42CB5"/>
    <w:rsid w:val="00F446F6"/>
    <w:rsid w:val="00F52D8F"/>
    <w:rsid w:val="00F53E1D"/>
    <w:rsid w:val="00F54C46"/>
    <w:rsid w:val="00F560A7"/>
    <w:rsid w:val="00F62478"/>
    <w:rsid w:val="00F6367B"/>
    <w:rsid w:val="00F76F9C"/>
    <w:rsid w:val="00F77379"/>
    <w:rsid w:val="00F936B1"/>
    <w:rsid w:val="00FA0234"/>
    <w:rsid w:val="00FA4A90"/>
    <w:rsid w:val="00FA7463"/>
    <w:rsid w:val="00FA7E59"/>
    <w:rsid w:val="00FB5C47"/>
    <w:rsid w:val="00FB6105"/>
    <w:rsid w:val="00FC0AFC"/>
    <w:rsid w:val="00FC140E"/>
    <w:rsid w:val="00FC204C"/>
    <w:rsid w:val="00FC56E1"/>
    <w:rsid w:val="00FC74C1"/>
    <w:rsid w:val="00FD15B9"/>
    <w:rsid w:val="00FD44D7"/>
    <w:rsid w:val="00FD586A"/>
    <w:rsid w:val="00FE7294"/>
    <w:rsid w:val="0656E4EA"/>
    <w:rsid w:val="097B63C3"/>
    <w:rsid w:val="186B2646"/>
    <w:rsid w:val="1E7C487E"/>
    <w:rsid w:val="1EAC6E29"/>
    <w:rsid w:val="1F7FB2B1"/>
    <w:rsid w:val="1FA2124D"/>
    <w:rsid w:val="20561F62"/>
    <w:rsid w:val="20910450"/>
    <w:rsid w:val="254F0623"/>
    <w:rsid w:val="2D0296A8"/>
    <w:rsid w:val="39541AB6"/>
    <w:rsid w:val="43A83569"/>
    <w:rsid w:val="56BFE0F8"/>
    <w:rsid w:val="59207D91"/>
    <w:rsid w:val="5BB8C7B9"/>
    <w:rsid w:val="6CB1A575"/>
    <w:rsid w:val="7A11F6FF"/>
    <w:rsid w:val="7C2D9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3DDD9"/>
  <w15:chartTrackingRefBased/>
  <w15:docId w15:val="{D0287B78-FAF3-DC40-B8CB-88F08C08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F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03B"/>
    <w:pPr>
      <w:tabs>
        <w:tab w:val="center" w:pos="4680"/>
        <w:tab w:val="right" w:pos="9360"/>
      </w:tabs>
    </w:pPr>
  </w:style>
  <w:style w:type="character" w:customStyle="1" w:styleId="HeaderChar">
    <w:name w:val="Header Char"/>
    <w:basedOn w:val="DefaultParagraphFont"/>
    <w:link w:val="Header"/>
    <w:uiPriority w:val="99"/>
    <w:rsid w:val="007830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303B"/>
    <w:pPr>
      <w:tabs>
        <w:tab w:val="center" w:pos="4680"/>
        <w:tab w:val="right" w:pos="9360"/>
      </w:tabs>
    </w:pPr>
  </w:style>
  <w:style w:type="character" w:customStyle="1" w:styleId="FooterChar">
    <w:name w:val="Footer Char"/>
    <w:basedOn w:val="DefaultParagraphFont"/>
    <w:link w:val="Footer"/>
    <w:uiPriority w:val="99"/>
    <w:rsid w:val="0078303B"/>
    <w:rPr>
      <w:rFonts w:ascii="Times New Roman" w:eastAsia="Times New Roman" w:hAnsi="Times New Roman" w:cs="Times New Roman"/>
      <w:sz w:val="20"/>
      <w:szCs w:val="20"/>
    </w:rPr>
  </w:style>
  <w:style w:type="table" w:styleId="TableGrid">
    <w:name w:val="Table Grid"/>
    <w:basedOn w:val="TableNormal"/>
    <w:uiPriority w:val="59"/>
    <w:rsid w:val="008825A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25A8"/>
    <w:rPr>
      <w:rFonts w:ascii="Times New Roman" w:eastAsia="Times New Roman" w:hAnsi="Times New Roman" w:cs="Times New Roman"/>
      <w:sz w:val="20"/>
      <w:szCs w:val="20"/>
    </w:rPr>
  </w:style>
  <w:style w:type="paragraph" w:styleId="ListParagraph">
    <w:name w:val="List Paragraph"/>
    <w:basedOn w:val="Normal"/>
    <w:uiPriority w:val="34"/>
    <w:qFormat/>
    <w:rsid w:val="0063612B"/>
    <w:pPr>
      <w:ind w:left="720"/>
      <w:contextualSpacing/>
    </w:pPr>
  </w:style>
  <w:style w:type="character" w:styleId="Hyperlink">
    <w:name w:val="Hyperlink"/>
    <w:basedOn w:val="DefaultParagraphFont"/>
    <w:uiPriority w:val="99"/>
    <w:unhideWhenUsed/>
    <w:rsid w:val="00435D76"/>
    <w:rPr>
      <w:color w:val="0563C1" w:themeColor="hyperlink"/>
      <w:u w:val="single"/>
    </w:rPr>
  </w:style>
  <w:style w:type="character" w:customStyle="1" w:styleId="UnresolvedMention1">
    <w:name w:val="Unresolved Mention1"/>
    <w:basedOn w:val="DefaultParagraphFont"/>
    <w:uiPriority w:val="99"/>
    <w:semiHidden/>
    <w:unhideWhenUsed/>
    <w:rsid w:val="00435D76"/>
    <w:rPr>
      <w:color w:val="605E5C"/>
      <w:shd w:val="clear" w:color="auto" w:fill="E1DFDD"/>
    </w:rPr>
  </w:style>
  <w:style w:type="character" w:styleId="FollowedHyperlink">
    <w:name w:val="FollowedHyperlink"/>
    <w:basedOn w:val="DefaultParagraphFont"/>
    <w:uiPriority w:val="99"/>
    <w:semiHidden/>
    <w:unhideWhenUsed/>
    <w:rsid w:val="005B41D0"/>
    <w:rPr>
      <w:color w:val="954F72" w:themeColor="followedHyperlink"/>
      <w:u w:val="single"/>
    </w:rPr>
  </w:style>
  <w:style w:type="paragraph" w:styleId="FootnoteText">
    <w:name w:val="footnote text"/>
    <w:basedOn w:val="Normal"/>
    <w:link w:val="FootnoteTextChar"/>
    <w:uiPriority w:val="99"/>
    <w:semiHidden/>
    <w:unhideWhenUsed/>
    <w:rsid w:val="004D5AF2"/>
  </w:style>
  <w:style w:type="character" w:customStyle="1" w:styleId="FootnoteTextChar">
    <w:name w:val="Footnote Text Char"/>
    <w:basedOn w:val="DefaultParagraphFont"/>
    <w:link w:val="FootnoteText"/>
    <w:uiPriority w:val="99"/>
    <w:semiHidden/>
    <w:rsid w:val="004D5A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5AF2"/>
    <w:rPr>
      <w:vertAlign w:val="superscript"/>
    </w:rPr>
  </w:style>
  <w:style w:type="paragraph" w:styleId="EndnoteText">
    <w:name w:val="endnote text"/>
    <w:basedOn w:val="Normal"/>
    <w:link w:val="EndnoteTextChar"/>
    <w:uiPriority w:val="99"/>
    <w:semiHidden/>
    <w:unhideWhenUsed/>
    <w:rsid w:val="00A5150B"/>
  </w:style>
  <w:style w:type="character" w:customStyle="1" w:styleId="EndnoteTextChar">
    <w:name w:val="Endnote Text Char"/>
    <w:basedOn w:val="DefaultParagraphFont"/>
    <w:link w:val="EndnoteText"/>
    <w:uiPriority w:val="99"/>
    <w:semiHidden/>
    <w:rsid w:val="00A5150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5150B"/>
    <w:rPr>
      <w:vertAlign w:val="superscript"/>
    </w:rPr>
  </w:style>
  <w:style w:type="paragraph" w:styleId="CommentText">
    <w:name w:val="annotation text"/>
    <w:basedOn w:val="Normal"/>
    <w:link w:val="CommentTextChar"/>
    <w:uiPriority w:val="99"/>
    <w:semiHidden/>
    <w:unhideWhenUsed/>
    <w:rsid w:val="002C5F62"/>
  </w:style>
  <w:style w:type="character" w:customStyle="1" w:styleId="CommentTextChar">
    <w:name w:val="Comment Text Char"/>
    <w:basedOn w:val="DefaultParagraphFont"/>
    <w:link w:val="CommentText"/>
    <w:uiPriority w:val="99"/>
    <w:semiHidden/>
    <w:rsid w:val="002C5F6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C5F62"/>
    <w:rPr>
      <w:sz w:val="16"/>
      <w:szCs w:val="16"/>
    </w:rPr>
  </w:style>
  <w:style w:type="paragraph" w:styleId="BalloonText">
    <w:name w:val="Balloon Text"/>
    <w:basedOn w:val="Normal"/>
    <w:link w:val="BalloonTextChar"/>
    <w:uiPriority w:val="99"/>
    <w:semiHidden/>
    <w:unhideWhenUsed/>
    <w:rsid w:val="00D90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52"/>
    <w:rPr>
      <w:rFonts w:ascii="Segoe UI" w:eastAsia="Times New Roman" w:hAnsi="Segoe UI" w:cs="Segoe UI"/>
      <w:sz w:val="18"/>
      <w:szCs w:val="18"/>
    </w:rPr>
  </w:style>
  <w:style w:type="table" w:customStyle="1" w:styleId="TableGrid1">
    <w:name w:val="Table Grid1"/>
    <w:basedOn w:val="TableNormal"/>
    <w:next w:val="TableGrid"/>
    <w:uiPriority w:val="59"/>
    <w:rsid w:val="00D90A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4892">
      <w:bodyDiv w:val="1"/>
      <w:marLeft w:val="0"/>
      <w:marRight w:val="0"/>
      <w:marTop w:val="0"/>
      <w:marBottom w:val="0"/>
      <w:divBdr>
        <w:top w:val="none" w:sz="0" w:space="0" w:color="auto"/>
        <w:left w:val="none" w:sz="0" w:space="0" w:color="auto"/>
        <w:bottom w:val="none" w:sz="0" w:space="0" w:color="auto"/>
        <w:right w:val="none" w:sz="0" w:space="0" w:color="auto"/>
      </w:divBdr>
    </w:div>
    <w:div w:id="456027546">
      <w:bodyDiv w:val="1"/>
      <w:marLeft w:val="0"/>
      <w:marRight w:val="0"/>
      <w:marTop w:val="0"/>
      <w:marBottom w:val="0"/>
      <w:divBdr>
        <w:top w:val="none" w:sz="0" w:space="0" w:color="auto"/>
        <w:left w:val="none" w:sz="0" w:space="0" w:color="auto"/>
        <w:bottom w:val="none" w:sz="0" w:space="0" w:color="auto"/>
        <w:right w:val="none" w:sz="0" w:space="0" w:color="auto"/>
      </w:divBdr>
    </w:div>
    <w:div w:id="616260437">
      <w:bodyDiv w:val="1"/>
      <w:marLeft w:val="0"/>
      <w:marRight w:val="0"/>
      <w:marTop w:val="0"/>
      <w:marBottom w:val="0"/>
      <w:divBdr>
        <w:top w:val="none" w:sz="0" w:space="0" w:color="auto"/>
        <w:left w:val="none" w:sz="0" w:space="0" w:color="auto"/>
        <w:bottom w:val="none" w:sz="0" w:space="0" w:color="auto"/>
        <w:right w:val="none" w:sz="0" w:space="0" w:color="auto"/>
      </w:divBdr>
    </w:div>
    <w:div w:id="849105697">
      <w:bodyDiv w:val="1"/>
      <w:marLeft w:val="0"/>
      <w:marRight w:val="0"/>
      <w:marTop w:val="0"/>
      <w:marBottom w:val="0"/>
      <w:divBdr>
        <w:top w:val="none" w:sz="0" w:space="0" w:color="auto"/>
        <w:left w:val="none" w:sz="0" w:space="0" w:color="auto"/>
        <w:bottom w:val="none" w:sz="0" w:space="0" w:color="auto"/>
        <w:right w:val="none" w:sz="0" w:space="0" w:color="auto"/>
      </w:divBdr>
    </w:div>
    <w:div w:id="1187332327">
      <w:bodyDiv w:val="1"/>
      <w:marLeft w:val="0"/>
      <w:marRight w:val="0"/>
      <w:marTop w:val="0"/>
      <w:marBottom w:val="0"/>
      <w:divBdr>
        <w:top w:val="none" w:sz="0" w:space="0" w:color="auto"/>
        <w:left w:val="none" w:sz="0" w:space="0" w:color="auto"/>
        <w:bottom w:val="none" w:sz="0" w:space="0" w:color="auto"/>
        <w:right w:val="none" w:sz="0" w:space="0" w:color="auto"/>
      </w:divBdr>
    </w:div>
    <w:div w:id="1722438607">
      <w:bodyDiv w:val="1"/>
      <w:marLeft w:val="0"/>
      <w:marRight w:val="0"/>
      <w:marTop w:val="0"/>
      <w:marBottom w:val="0"/>
      <w:divBdr>
        <w:top w:val="none" w:sz="0" w:space="0" w:color="auto"/>
        <w:left w:val="none" w:sz="0" w:space="0" w:color="auto"/>
        <w:bottom w:val="none" w:sz="0" w:space="0" w:color="auto"/>
        <w:right w:val="none" w:sz="0" w:space="0" w:color="auto"/>
      </w:divBdr>
    </w:div>
    <w:div w:id="2074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dc.gov/arthrit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4F80EC-194C-B047-BAA8-927C361A9CD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271E69-5E8D-4983-BD44-54023A8B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Links>
    <vt:vector size="36" baseType="variant">
      <vt:variant>
        <vt:i4>5898304</vt:i4>
      </vt:variant>
      <vt:variant>
        <vt:i4>0</vt:i4>
      </vt:variant>
      <vt:variant>
        <vt:i4>0</vt:i4>
      </vt:variant>
      <vt:variant>
        <vt:i4>5</vt:i4>
      </vt:variant>
      <vt:variant>
        <vt:lpwstr>http://www.cdc.gov/arthritis/</vt:lpwstr>
      </vt:variant>
      <vt:variant>
        <vt:lpwstr/>
      </vt:variant>
      <vt:variant>
        <vt:i4>2490422</vt:i4>
      </vt:variant>
      <vt:variant>
        <vt:i4>12</vt:i4>
      </vt:variant>
      <vt:variant>
        <vt:i4>0</vt:i4>
      </vt:variant>
      <vt:variant>
        <vt:i4>5</vt:i4>
      </vt:variant>
      <vt:variant>
        <vt:lpwstr>https://www.nejm.org/doi/full/10.1056/NEJMsa073350</vt:lpwstr>
      </vt:variant>
      <vt:variant>
        <vt:lpwstr/>
      </vt:variant>
      <vt:variant>
        <vt:i4>589834</vt:i4>
      </vt:variant>
      <vt:variant>
        <vt:i4>9</vt:i4>
      </vt:variant>
      <vt:variant>
        <vt:i4>0</vt:i4>
      </vt:variant>
      <vt:variant>
        <vt:i4>5</vt:i4>
      </vt:variant>
      <vt:variant>
        <vt:lpwstr>https://pubmed.ncbi.nlm.nih.gov/21146781/</vt:lpwstr>
      </vt:variant>
      <vt:variant>
        <vt:lpwstr/>
      </vt:variant>
      <vt:variant>
        <vt:i4>589825</vt:i4>
      </vt:variant>
      <vt:variant>
        <vt:i4>6</vt:i4>
      </vt:variant>
      <vt:variant>
        <vt:i4>0</vt:i4>
      </vt:variant>
      <vt:variant>
        <vt:i4>5</vt:i4>
      </vt:variant>
      <vt:variant>
        <vt:lpwstr>https://pubmed.ncbi.nlm.nih.gov/21563622/</vt:lpwstr>
      </vt:variant>
      <vt:variant>
        <vt:lpwstr/>
      </vt:variant>
      <vt:variant>
        <vt:i4>1507413</vt:i4>
      </vt:variant>
      <vt:variant>
        <vt:i4>3</vt:i4>
      </vt:variant>
      <vt:variant>
        <vt:i4>0</vt:i4>
      </vt:variant>
      <vt:variant>
        <vt:i4>5</vt:i4>
      </vt:variant>
      <vt:variant>
        <vt:lpwstr>https://altarum.org/RacialEquity2018</vt:lpwstr>
      </vt:variant>
      <vt:variant>
        <vt:lpwstr/>
      </vt:variant>
      <vt:variant>
        <vt:i4>1572934</vt:i4>
      </vt:variant>
      <vt:variant>
        <vt:i4>0</vt:i4>
      </vt:variant>
      <vt:variant>
        <vt:i4>0</vt:i4>
      </vt:variant>
      <vt:variant>
        <vt:i4>5</vt:i4>
      </vt:variant>
      <vt:variant>
        <vt:lpwstr>https://www.ncbi.nlm.nih.gov/pmc/articles/PMC3134519/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Katherine Chisholm</dc:creator>
  <cp:keywords/>
  <dc:description/>
  <cp:lastModifiedBy>Liz Ruth</cp:lastModifiedBy>
  <cp:revision>2</cp:revision>
  <cp:lastPrinted>2021-09-27T14:57:00Z</cp:lastPrinted>
  <dcterms:created xsi:type="dcterms:W3CDTF">2023-04-24T17:22:00Z</dcterms:created>
  <dcterms:modified xsi:type="dcterms:W3CDTF">2023-04-24T17:22:00Z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documentId_6836</vt:lpwstr>
  </property>
  <property fmtid="{D5CDD505-2E9C-101B-9397-08002B2CF9AE}" pid="3" name="grammarly_documentContext">
    <vt:lpwstr>{"goals":[],"domain":"general","emotions":[],"dialect":"american"}</vt:lpwstr>
  </property>
</Properties>
</file>