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6A32" w14:textId="7C8438FF" w:rsidR="0068752E" w:rsidRDefault="0068752E" w:rsidP="008F0444">
      <w:pPr>
        <w:pStyle w:val="BodyText"/>
        <w:jc w:val="center"/>
        <w:rPr>
          <w:sz w:val="28"/>
        </w:rPr>
      </w:pPr>
      <w:r>
        <w:rPr>
          <w:sz w:val="28"/>
        </w:rPr>
        <w:t>PREVENTIVE HEALTH AND HEALTH SERVICES BLOCK GRANT</w:t>
      </w:r>
    </w:p>
    <w:p w14:paraId="7332E34B" w14:textId="5F820438" w:rsidR="0068752E" w:rsidRDefault="006E4FD9" w:rsidP="008F0444">
      <w:pPr>
        <w:pStyle w:val="BodyText"/>
        <w:jc w:val="center"/>
        <w:rPr>
          <w:sz w:val="28"/>
        </w:rPr>
      </w:pPr>
      <w:r>
        <w:rPr>
          <w:sz w:val="28"/>
        </w:rPr>
        <w:t>FY 20</w:t>
      </w:r>
      <w:r w:rsidR="00D64566">
        <w:rPr>
          <w:sz w:val="28"/>
        </w:rPr>
        <w:t>2</w:t>
      </w:r>
      <w:r w:rsidR="00553108">
        <w:rPr>
          <w:sz w:val="28"/>
        </w:rPr>
        <w:t>4</w:t>
      </w:r>
      <w:r>
        <w:rPr>
          <w:sz w:val="28"/>
        </w:rPr>
        <w:t xml:space="preserve"> </w:t>
      </w:r>
      <w:r w:rsidR="0068752E">
        <w:rPr>
          <w:sz w:val="28"/>
        </w:rPr>
        <w:t>FACT SHEET</w:t>
      </w:r>
    </w:p>
    <w:p w14:paraId="69919F0B" w14:textId="77777777" w:rsidR="00172E5C" w:rsidRPr="00073E1F" w:rsidRDefault="00172E5C" w:rsidP="00073E1F">
      <w:pPr>
        <w:pStyle w:val="BodyText"/>
        <w:ind w:right="-720"/>
        <w:jc w:val="center"/>
        <w:rPr>
          <w:sz w:val="20"/>
          <w:szCs w:val="28"/>
        </w:rPr>
      </w:pPr>
    </w:p>
    <w:p w14:paraId="0D53A4E7" w14:textId="124F3BAD" w:rsidR="0068752E" w:rsidRPr="009F352E" w:rsidRDefault="007B21EC" w:rsidP="009F352E">
      <w:pPr>
        <w:jc w:val="both"/>
        <w:rPr>
          <w:rFonts w:ascii="Times New Roman" w:hAnsi="Times New Roman"/>
          <w:b/>
          <w:szCs w:val="24"/>
          <w:u w:val="single"/>
        </w:rPr>
      </w:pPr>
      <w:r w:rsidRPr="009F352E">
        <w:rPr>
          <w:rFonts w:ascii="Times New Roman" w:hAnsi="Times New Roman"/>
          <w:b/>
          <w:szCs w:val="24"/>
          <w:u w:val="single"/>
        </w:rPr>
        <w:t xml:space="preserve">Facts </w:t>
      </w:r>
      <w:r w:rsidR="00591C3F" w:rsidRPr="009F352E">
        <w:rPr>
          <w:rFonts w:ascii="Times New Roman" w:hAnsi="Times New Roman"/>
          <w:b/>
          <w:szCs w:val="24"/>
          <w:u w:val="single"/>
        </w:rPr>
        <w:t>a</w:t>
      </w:r>
      <w:r w:rsidR="0068752E" w:rsidRPr="009F352E">
        <w:rPr>
          <w:rFonts w:ascii="Times New Roman" w:hAnsi="Times New Roman"/>
          <w:b/>
          <w:szCs w:val="24"/>
          <w:u w:val="single"/>
        </w:rPr>
        <w:t>bout the Preventive Health &amp; Health Services Block Grant</w:t>
      </w:r>
    </w:p>
    <w:p w14:paraId="39B6E48C" w14:textId="0D2BFF93" w:rsidR="00591C3F" w:rsidRPr="009F352E" w:rsidRDefault="007227B0" w:rsidP="009F352E">
      <w:pPr>
        <w:pStyle w:val="BodyText2"/>
        <w:ind w:right="0"/>
        <w:jc w:val="both"/>
        <w:rPr>
          <w:szCs w:val="24"/>
        </w:rPr>
      </w:pPr>
      <w:r w:rsidRPr="009F352E">
        <w:rPr>
          <w:szCs w:val="24"/>
        </w:rPr>
        <w:t xml:space="preserve">The </w:t>
      </w:r>
      <w:r w:rsidR="00553108" w:rsidRPr="009F352E">
        <w:rPr>
          <w:szCs w:val="24"/>
        </w:rPr>
        <w:t>Centers for Disease Control and Prevention’s (CDC)</w:t>
      </w:r>
      <w:r w:rsidR="00C81D26" w:rsidRPr="009F352E">
        <w:rPr>
          <w:szCs w:val="24"/>
        </w:rPr>
        <w:t xml:space="preserve"> Center for State, Tribal, Local, and Territorial Support (CSTLTS) administers the </w:t>
      </w:r>
      <w:r w:rsidRPr="009F352E">
        <w:rPr>
          <w:szCs w:val="24"/>
        </w:rPr>
        <w:t>Preventive Health and Health Services Block Grant</w:t>
      </w:r>
      <w:r w:rsidR="00C81D26" w:rsidRPr="009F352E">
        <w:rPr>
          <w:szCs w:val="24"/>
        </w:rPr>
        <w:t xml:space="preserve"> </w:t>
      </w:r>
      <w:proofErr w:type="spellStart"/>
      <w:r w:rsidR="00C81D26" w:rsidRPr="009F352E">
        <w:rPr>
          <w:szCs w:val="24"/>
        </w:rPr>
        <w:t>whic</w:t>
      </w:r>
      <w:proofErr w:type="spellEnd"/>
      <w:r w:rsidR="00BC0D5A" w:rsidRPr="009F352E">
        <w:rPr>
          <w:szCs w:val="24"/>
        </w:rPr>
        <w:t xml:space="preserve"> </w:t>
      </w:r>
      <w:r w:rsidR="00B84C47" w:rsidRPr="009F352E">
        <w:rPr>
          <w:szCs w:val="24"/>
        </w:rPr>
        <w:t xml:space="preserve">allows 50 states, </w:t>
      </w:r>
      <w:r w:rsidR="0039105C" w:rsidRPr="009F352E">
        <w:rPr>
          <w:szCs w:val="24"/>
        </w:rPr>
        <w:t xml:space="preserve">the District of Columbia, </w:t>
      </w:r>
      <w:r w:rsidR="00B84C47" w:rsidRPr="009F352E">
        <w:rPr>
          <w:szCs w:val="24"/>
        </w:rPr>
        <w:t xml:space="preserve">2 American Indian tribes, </w:t>
      </w:r>
      <w:r w:rsidR="0039105C" w:rsidRPr="009F352E">
        <w:rPr>
          <w:szCs w:val="24"/>
        </w:rPr>
        <w:t>5</w:t>
      </w:r>
      <w:r w:rsidR="00B84C47" w:rsidRPr="009F352E">
        <w:rPr>
          <w:szCs w:val="24"/>
        </w:rPr>
        <w:t xml:space="preserve"> U.S. territories, and </w:t>
      </w:r>
      <w:r w:rsidR="0039105C" w:rsidRPr="009F352E">
        <w:rPr>
          <w:szCs w:val="24"/>
        </w:rPr>
        <w:t>3 freely associated states the</w:t>
      </w:r>
      <w:r w:rsidR="00B84C47" w:rsidRPr="009F352E">
        <w:rPr>
          <w:szCs w:val="24"/>
        </w:rPr>
        <w:t xml:space="preserve"> </w:t>
      </w:r>
      <w:r w:rsidRPr="009F352E">
        <w:rPr>
          <w:szCs w:val="24"/>
        </w:rPr>
        <w:t xml:space="preserve">autonomy and flexibility to tailor prevention and health promotion programs to their </w:t>
      </w:r>
      <w:proofErr w:type="gramStart"/>
      <w:r w:rsidRPr="009F352E">
        <w:rPr>
          <w:szCs w:val="24"/>
        </w:rPr>
        <w:t>particular public</w:t>
      </w:r>
      <w:proofErr w:type="gramEnd"/>
      <w:r w:rsidRPr="009F352E">
        <w:rPr>
          <w:szCs w:val="24"/>
        </w:rPr>
        <w:t xml:space="preserve"> health needs. </w:t>
      </w:r>
      <w:r w:rsidR="00553108" w:rsidRPr="009F352E">
        <w:rPr>
          <w:szCs w:val="24"/>
        </w:rPr>
        <w:t>The Block Grant allows grantees to address emerging health issues and gaps</w:t>
      </w:r>
      <w:r w:rsidR="00591C3F" w:rsidRPr="009F352E">
        <w:rPr>
          <w:szCs w:val="24"/>
        </w:rPr>
        <w:t xml:space="preserve"> at the state and community level</w:t>
      </w:r>
      <w:r w:rsidR="00553108" w:rsidRPr="009F352E">
        <w:rPr>
          <w:szCs w:val="24"/>
        </w:rPr>
        <w:t xml:space="preserve"> by focusing on their specific needs a</w:t>
      </w:r>
      <w:r w:rsidR="00591C3F" w:rsidRPr="009F352E">
        <w:rPr>
          <w:szCs w:val="24"/>
        </w:rPr>
        <w:t>nd</w:t>
      </w:r>
      <w:r w:rsidR="00553108" w:rsidRPr="009F352E">
        <w:rPr>
          <w:szCs w:val="24"/>
        </w:rPr>
        <w:t xml:space="preserve"> </w:t>
      </w:r>
      <w:r w:rsidR="00C12A1D" w:rsidRPr="009F352E">
        <w:rPr>
          <w:szCs w:val="24"/>
        </w:rPr>
        <w:t xml:space="preserve">unique challenges in innovative ways. </w:t>
      </w:r>
    </w:p>
    <w:p w14:paraId="6B1C57A2" w14:textId="43C6758E" w:rsidR="00591C3F" w:rsidRPr="009F352E" w:rsidRDefault="00591C3F" w:rsidP="009F352E">
      <w:pPr>
        <w:pStyle w:val="BodyText2"/>
        <w:ind w:right="0"/>
        <w:jc w:val="both"/>
        <w:rPr>
          <w:szCs w:val="24"/>
        </w:rPr>
      </w:pPr>
    </w:p>
    <w:p w14:paraId="3DA3051A" w14:textId="652FC4F7" w:rsidR="0039105C" w:rsidRPr="009F352E" w:rsidRDefault="0039105C" w:rsidP="009F352E">
      <w:pPr>
        <w:pStyle w:val="BodyText2"/>
        <w:ind w:right="0"/>
        <w:jc w:val="both"/>
        <w:rPr>
          <w:szCs w:val="24"/>
        </w:rPr>
      </w:pPr>
      <w:r w:rsidRPr="009F352E">
        <w:rPr>
          <w:szCs w:val="24"/>
        </w:rPr>
        <w:t xml:space="preserve">States use Block Grant funding to reduce premature deaths and disabilities by focusing on the leading preventable risk factors in their populations. Many states have also used this funding to address unanticipated public health emergencies </w:t>
      </w:r>
      <w:r w:rsidR="00BC1D0D" w:rsidRPr="009F352E">
        <w:rPr>
          <w:szCs w:val="24"/>
        </w:rPr>
        <w:t xml:space="preserve">such as </w:t>
      </w:r>
      <w:r w:rsidRPr="009F352E">
        <w:rPr>
          <w:szCs w:val="24"/>
        </w:rPr>
        <w:t xml:space="preserve">outbreaks of deadly salmonella infections or West Nile Virus. States have also implemented heart attack, stroke, and other cardiovascular disease prevention programs, cancer screenings, </w:t>
      </w:r>
      <w:r w:rsidR="0017190E" w:rsidRPr="009F352E">
        <w:rPr>
          <w:szCs w:val="24"/>
        </w:rPr>
        <w:t xml:space="preserve">oral </w:t>
      </w:r>
      <w:r w:rsidRPr="009F352E">
        <w:rPr>
          <w:szCs w:val="24"/>
        </w:rPr>
        <w:t>health programs, child safety seat or smoke detector programs, and public health education programs designed to target at-risk populations.</w:t>
      </w:r>
    </w:p>
    <w:p w14:paraId="2F98ADD1" w14:textId="0F50ED9E" w:rsidR="0039105C" w:rsidRPr="009F352E" w:rsidRDefault="0039105C" w:rsidP="009F352E">
      <w:pPr>
        <w:pStyle w:val="BodyText2"/>
        <w:ind w:right="0"/>
        <w:jc w:val="both"/>
        <w:rPr>
          <w:szCs w:val="24"/>
        </w:rPr>
      </w:pPr>
    </w:p>
    <w:p w14:paraId="706EBA1F" w14:textId="77777777" w:rsidR="0039105C" w:rsidRPr="009F352E" w:rsidRDefault="0039105C" w:rsidP="009F352E">
      <w:pPr>
        <w:pStyle w:val="BodyText2"/>
        <w:ind w:right="0"/>
        <w:jc w:val="both"/>
        <w:rPr>
          <w:b/>
          <w:bCs/>
          <w:szCs w:val="24"/>
          <w:u w:val="single"/>
        </w:rPr>
      </w:pPr>
      <w:r w:rsidRPr="009F352E">
        <w:rPr>
          <w:b/>
          <w:bCs/>
          <w:szCs w:val="24"/>
          <w:u w:val="single"/>
        </w:rPr>
        <w:t>Evaluating Outcomes: Real Results</w:t>
      </w:r>
    </w:p>
    <w:p w14:paraId="62E73943" w14:textId="566987BC" w:rsidR="0039105C" w:rsidRPr="009F352E" w:rsidRDefault="000C5B1B" w:rsidP="009F352E">
      <w:pPr>
        <w:pStyle w:val="BodyText2"/>
        <w:ind w:right="0"/>
        <w:jc w:val="both"/>
        <w:rPr>
          <w:szCs w:val="24"/>
        </w:rPr>
      </w:pPr>
      <w:r w:rsidRPr="009F352E">
        <w:rPr>
          <w:szCs w:val="24"/>
        </w:rPr>
        <w:t>CSTLT’s latest report,</w:t>
      </w:r>
      <w:r w:rsidR="0039105C" w:rsidRPr="009F352E">
        <w:rPr>
          <w:szCs w:val="24"/>
        </w:rPr>
        <w:t xml:space="preserve"> </w:t>
      </w:r>
      <w:hyperlink r:id="rId8" w:history="1">
        <w:r w:rsidR="0039105C" w:rsidRPr="009F352E">
          <w:rPr>
            <w:rStyle w:val="Hyperlink"/>
            <w:szCs w:val="24"/>
          </w:rPr>
          <w:t>Preventive Health and Health Services Block Grant Evaluation Report: 2019 Framework Measures Assessments</w:t>
        </w:r>
      </w:hyperlink>
      <w:r w:rsidR="0039105C" w:rsidRPr="009F352E">
        <w:rPr>
          <w:rStyle w:val="Hyperlink"/>
          <w:color w:val="auto"/>
          <w:szCs w:val="24"/>
          <w:u w:val="none"/>
        </w:rPr>
        <w:t xml:space="preserve">, found that the program enabled: </w:t>
      </w:r>
      <w:r w:rsidR="0039105C" w:rsidRPr="009F352E">
        <w:rPr>
          <w:szCs w:val="24"/>
        </w:rPr>
        <w:t xml:space="preserve">688 agencies to improve the capacity of their information systems; 434 agencies to improve the efficiency and effectiveness of their operations, programs, and services; agencies to address 163 emerging public health needs; and agencies to implement 1,259 evidence-based public health interventions.  </w:t>
      </w:r>
    </w:p>
    <w:p w14:paraId="5B8C9EDF" w14:textId="77777777" w:rsidR="0039105C" w:rsidRPr="009F352E" w:rsidRDefault="0039105C" w:rsidP="009F352E">
      <w:pPr>
        <w:jc w:val="both"/>
        <w:rPr>
          <w:rFonts w:ascii="Times New Roman" w:hAnsi="Times New Roman"/>
          <w:szCs w:val="24"/>
        </w:rPr>
      </w:pPr>
    </w:p>
    <w:p w14:paraId="3CB7C18E" w14:textId="77777777" w:rsidR="0039105C" w:rsidRPr="009F352E" w:rsidRDefault="0039105C" w:rsidP="009F352E">
      <w:pPr>
        <w:pStyle w:val="Default"/>
        <w:jc w:val="both"/>
        <w:rPr>
          <w:rFonts w:ascii="Times New Roman" w:hAnsi="Times New Roman" w:cs="Times New Roman"/>
          <w:color w:val="auto"/>
        </w:rPr>
      </w:pPr>
      <w:r w:rsidRPr="009F352E">
        <w:rPr>
          <w:rFonts w:ascii="Times New Roman" w:hAnsi="Times New Roman" w:cs="Times New Roman"/>
          <w:color w:val="auto"/>
        </w:rPr>
        <w:t>The emerging public health needs addressed were varied, with the top four topic areas accounting for half of all emerging needs reported. This included:</w:t>
      </w:r>
    </w:p>
    <w:p w14:paraId="708937AE" w14:textId="77777777" w:rsidR="0039105C" w:rsidRPr="009F352E" w:rsidRDefault="0039105C" w:rsidP="009F352E">
      <w:pPr>
        <w:pStyle w:val="Default"/>
        <w:numPr>
          <w:ilvl w:val="0"/>
          <w:numId w:val="3"/>
        </w:numPr>
        <w:jc w:val="both"/>
        <w:rPr>
          <w:rFonts w:ascii="Times New Roman" w:hAnsi="Times New Roman" w:cs="Times New Roman"/>
          <w:color w:val="auto"/>
        </w:rPr>
      </w:pPr>
      <w:r w:rsidRPr="009F352E">
        <w:rPr>
          <w:rFonts w:ascii="Times New Roman" w:hAnsi="Times New Roman" w:cs="Times New Roman"/>
          <w:color w:val="auto"/>
        </w:rPr>
        <w:t xml:space="preserve">15% for infectious diseases, such as bacterial infections, viral infections, arboviral diseases, foodborne illnesses, and sexually transmitted </w:t>
      </w:r>
      <w:proofErr w:type="gramStart"/>
      <w:r w:rsidRPr="009F352E">
        <w:rPr>
          <w:rFonts w:ascii="Times New Roman" w:hAnsi="Times New Roman" w:cs="Times New Roman"/>
          <w:color w:val="auto"/>
        </w:rPr>
        <w:t>diseases;</w:t>
      </w:r>
      <w:proofErr w:type="gramEnd"/>
    </w:p>
    <w:p w14:paraId="5B29F8E8" w14:textId="77777777" w:rsidR="0039105C" w:rsidRPr="009F352E" w:rsidRDefault="0039105C" w:rsidP="009F352E">
      <w:pPr>
        <w:pStyle w:val="Default"/>
        <w:numPr>
          <w:ilvl w:val="0"/>
          <w:numId w:val="3"/>
        </w:numPr>
        <w:jc w:val="both"/>
        <w:rPr>
          <w:rFonts w:ascii="Times New Roman" w:hAnsi="Times New Roman" w:cs="Times New Roman"/>
          <w:color w:val="auto"/>
        </w:rPr>
      </w:pPr>
      <w:r w:rsidRPr="009F352E">
        <w:rPr>
          <w:rFonts w:ascii="Times New Roman" w:hAnsi="Times New Roman" w:cs="Times New Roman"/>
          <w:color w:val="auto"/>
        </w:rPr>
        <w:t xml:space="preserve">13% for chronic diseases and associated risk factors, or non-communicable diseases such as obesity, physical activity and nutrition, tobacco, and </w:t>
      </w:r>
      <w:proofErr w:type="gramStart"/>
      <w:r w:rsidRPr="009F352E">
        <w:rPr>
          <w:rFonts w:ascii="Times New Roman" w:hAnsi="Times New Roman" w:cs="Times New Roman"/>
          <w:color w:val="auto"/>
        </w:rPr>
        <w:t>diabetes;</w:t>
      </w:r>
      <w:proofErr w:type="gramEnd"/>
    </w:p>
    <w:p w14:paraId="743ECF4B" w14:textId="77777777" w:rsidR="0039105C" w:rsidRPr="009F352E" w:rsidRDefault="0039105C" w:rsidP="009F352E">
      <w:pPr>
        <w:pStyle w:val="Default"/>
        <w:numPr>
          <w:ilvl w:val="0"/>
          <w:numId w:val="3"/>
        </w:numPr>
        <w:jc w:val="both"/>
        <w:rPr>
          <w:rFonts w:ascii="Times New Roman" w:hAnsi="Times New Roman" w:cs="Times New Roman"/>
          <w:color w:val="auto"/>
        </w:rPr>
      </w:pPr>
      <w:r w:rsidRPr="009F352E">
        <w:rPr>
          <w:rFonts w:ascii="Times New Roman" w:hAnsi="Times New Roman" w:cs="Times New Roman"/>
          <w:color w:val="auto"/>
        </w:rPr>
        <w:t xml:space="preserve">12% for public health infrastructure, including workforce development and health information technology; and  </w:t>
      </w:r>
    </w:p>
    <w:p w14:paraId="28A3697B" w14:textId="77777777" w:rsidR="0039105C" w:rsidRPr="009F352E" w:rsidRDefault="0039105C" w:rsidP="009F352E">
      <w:pPr>
        <w:pStyle w:val="Default"/>
        <w:numPr>
          <w:ilvl w:val="0"/>
          <w:numId w:val="3"/>
        </w:numPr>
        <w:jc w:val="both"/>
        <w:rPr>
          <w:rFonts w:ascii="Times New Roman" w:hAnsi="Times New Roman" w:cs="Times New Roman"/>
          <w:color w:val="auto"/>
        </w:rPr>
      </w:pPr>
      <w:r w:rsidRPr="009F352E">
        <w:rPr>
          <w:rFonts w:ascii="Times New Roman" w:hAnsi="Times New Roman" w:cs="Times New Roman"/>
          <w:color w:val="auto"/>
        </w:rPr>
        <w:t xml:space="preserve">10% for substance abuse (e.g., opioid and prescription drug abuse, prevention, and education).   </w:t>
      </w:r>
    </w:p>
    <w:p w14:paraId="201269A1" w14:textId="77777777" w:rsidR="0039105C" w:rsidRPr="009F352E" w:rsidRDefault="0039105C" w:rsidP="009F352E">
      <w:pPr>
        <w:jc w:val="both"/>
        <w:rPr>
          <w:rFonts w:ascii="Times New Roman" w:hAnsi="Times New Roman"/>
          <w:szCs w:val="24"/>
        </w:rPr>
      </w:pPr>
    </w:p>
    <w:p w14:paraId="7D6B0613" w14:textId="77777777" w:rsidR="0039105C" w:rsidRPr="009F352E" w:rsidRDefault="0039105C" w:rsidP="009F352E">
      <w:pPr>
        <w:pStyle w:val="BodyText2"/>
        <w:ind w:right="0"/>
        <w:jc w:val="both"/>
        <w:rPr>
          <w:szCs w:val="24"/>
        </w:rPr>
      </w:pPr>
      <w:r w:rsidRPr="009F352E">
        <w:rPr>
          <w:szCs w:val="24"/>
        </w:rPr>
        <w:t>Of the public health interventions implemented, 209 addressed nutrition and weight status, 199 addressed injury and violence prevention, 192 addressed physical activity, 137 addressed cancer, and 128 addressed rape/attempted rape. For most health topic areas, evidence-based interventions accounted for over 85% of those implemented.</w:t>
      </w:r>
    </w:p>
    <w:p w14:paraId="0F8BE884" w14:textId="77777777" w:rsidR="0039105C" w:rsidRPr="009F352E" w:rsidRDefault="0039105C" w:rsidP="009F352E">
      <w:pPr>
        <w:pStyle w:val="BodyText2"/>
        <w:ind w:right="0"/>
        <w:jc w:val="both"/>
        <w:rPr>
          <w:szCs w:val="24"/>
        </w:rPr>
      </w:pPr>
    </w:p>
    <w:p w14:paraId="625541B7" w14:textId="1F195D40" w:rsidR="0039105C" w:rsidRPr="009F352E" w:rsidRDefault="0039105C" w:rsidP="009F352E">
      <w:pPr>
        <w:pStyle w:val="BodyText2"/>
        <w:ind w:right="0"/>
        <w:jc w:val="both"/>
        <w:rPr>
          <w:b/>
          <w:bCs/>
          <w:szCs w:val="24"/>
          <w:u w:val="single"/>
        </w:rPr>
      </w:pPr>
      <w:r w:rsidRPr="009F352E">
        <w:rPr>
          <w:b/>
          <w:bCs/>
          <w:szCs w:val="24"/>
          <w:u w:val="single"/>
        </w:rPr>
        <w:t>Funding the Preventive Health and Health Services Bock Grant: A Critical Need</w:t>
      </w:r>
    </w:p>
    <w:p w14:paraId="093C1111" w14:textId="007CBE75" w:rsidR="00553108" w:rsidRPr="009F352E" w:rsidRDefault="00BC1D0D" w:rsidP="009F352E">
      <w:pPr>
        <w:pStyle w:val="BodyText2"/>
        <w:ind w:right="0"/>
        <w:jc w:val="both"/>
        <w:rPr>
          <w:szCs w:val="24"/>
        </w:rPr>
      </w:pPr>
      <w:r w:rsidRPr="009F352E">
        <w:rPr>
          <w:szCs w:val="24"/>
        </w:rPr>
        <w:t>The Block Grant</w:t>
      </w:r>
      <w:r w:rsidR="00BF10B4" w:rsidRPr="009F352E">
        <w:rPr>
          <w:szCs w:val="24"/>
        </w:rPr>
        <w:t xml:space="preserve"> is currently </w:t>
      </w:r>
      <w:proofErr w:type="gramStart"/>
      <w:r w:rsidR="00BF10B4" w:rsidRPr="009F352E">
        <w:rPr>
          <w:szCs w:val="24"/>
        </w:rPr>
        <w:t>funding</w:t>
      </w:r>
      <w:proofErr w:type="gramEnd"/>
      <w:r w:rsidR="00BF10B4" w:rsidRPr="009F352E">
        <w:rPr>
          <w:szCs w:val="24"/>
        </w:rPr>
        <w:t xml:space="preserve"> at $160 million. </w:t>
      </w:r>
      <w:hyperlink r:id="rId9" w:history="1">
        <w:r w:rsidR="00BF10B4" w:rsidRPr="009F352E">
          <w:rPr>
            <w:rStyle w:val="Hyperlink"/>
            <w:szCs w:val="24"/>
          </w:rPr>
          <w:t>These</w:t>
        </w:r>
        <w:r w:rsidRPr="009F352E">
          <w:rPr>
            <w:rStyle w:val="Hyperlink"/>
            <w:szCs w:val="24"/>
          </w:rPr>
          <w:t xml:space="preserve"> funds</w:t>
        </w:r>
      </w:hyperlink>
      <w:r w:rsidR="00B84C47" w:rsidRPr="009F352E">
        <w:rPr>
          <w:szCs w:val="24"/>
        </w:rPr>
        <w:t xml:space="preserve"> are used</w:t>
      </w:r>
      <w:r w:rsidR="007227B0" w:rsidRPr="009F352E">
        <w:rPr>
          <w:szCs w:val="24"/>
        </w:rPr>
        <w:t xml:space="preserve"> to provide support to areas where </w:t>
      </w:r>
      <w:r w:rsidR="007227B0" w:rsidRPr="009F352E">
        <w:rPr>
          <w:b/>
          <w:szCs w:val="24"/>
        </w:rPr>
        <w:t xml:space="preserve">no federal </w:t>
      </w:r>
      <w:r w:rsidR="00080ABC" w:rsidRPr="009F352E">
        <w:rPr>
          <w:b/>
          <w:szCs w:val="24"/>
        </w:rPr>
        <w:t xml:space="preserve">or state </w:t>
      </w:r>
      <w:r w:rsidR="007227B0" w:rsidRPr="009F352E">
        <w:rPr>
          <w:b/>
          <w:szCs w:val="24"/>
        </w:rPr>
        <w:t>support exists</w:t>
      </w:r>
      <w:r w:rsidR="007227B0" w:rsidRPr="009F352E">
        <w:rPr>
          <w:szCs w:val="24"/>
        </w:rPr>
        <w:t xml:space="preserve"> or where </w:t>
      </w:r>
      <w:r w:rsidR="007227B0" w:rsidRPr="009F352E">
        <w:rPr>
          <w:b/>
          <w:szCs w:val="24"/>
        </w:rPr>
        <w:t xml:space="preserve">federal categorical funds are </w:t>
      </w:r>
      <w:r w:rsidR="00591C3F" w:rsidRPr="009F352E">
        <w:rPr>
          <w:b/>
          <w:szCs w:val="24"/>
        </w:rPr>
        <w:t>not sufficient to meet the state’s needs.</w:t>
      </w:r>
      <w:r w:rsidR="007227B0" w:rsidRPr="009F352E">
        <w:rPr>
          <w:szCs w:val="24"/>
        </w:rPr>
        <w:t xml:space="preserve"> </w:t>
      </w:r>
      <w:r w:rsidR="00591C3F" w:rsidRPr="009F352E">
        <w:rPr>
          <w:szCs w:val="24"/>
        </w:rPr>
        <w:t xml:space="preserve">Without this funding, many states would be unable to continue </w:t>
      </w:r>
      <w:r w:rsidR="0039105C" w:rsidRPr="009F352E">
        <w:rPr>
          <w:szCs w:val="24"/>
        </w:rPr>
        <w:t>providing</w:t>
      </w:r>
      <w:r w:rsidR="00591C3F" w:rsidRPr="009F352E">
        <w:rPr>
          <w:szCs w:val="24"/>
        </w:rPr>
        <w:t xml:space="preserve"> critical chronic disease prevention and health promotion programs to the people who need it most.</w:t>
      </w:r>
    </w:p>
    <w:p w14:paraId="55DC46AC" w14:textId="72A17993" w:rsidR="00553108" w:rsidRPr="00BC1D0D" w:rsidRDefault="00553108" w:rsidP="00553108">
      <w:pPr>
        <w:pStyle w:val="BodyText2"/>
        <w:ind w:right="0"/>
        <w:jc w:val="both"/>
        <w:rPr>
          <w:sz w:val="23"/>
          <w:szCs w:val="23"/>
        </w:rPr>
      </w:pPr>
    </w:p>
    <w:sectPr w:rsidR="00553108" w:rsidRPr="00BC1D0D" w:rsidSect="009F352E">
      <w:headerReference w:type="first" r:id="rId10"/>
      <w:footerReference w:type="first" r:id="rId11"/>
      <w:pgSz w:w="12240" w:h="15840"/>
      <w:pgMar w:top="1440" w:right="1080" w:bottom="720" w:left="1080"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3979" w14:textId="77777777" w:rsidR="00323434" w:rsidRDefault="00323434" w:rsidP="007906A5">
      <w:r>
        <w:separator/>
      </w:r>
    </w:p>
  </w:endnote>
  <w:endnote w:type="continuationSeparator" w:id="0">
    <w:p w14:paraId="67182E7A" w14:textId="77777777" w:rsidR="00323434" w:rsidRDefault="00323434" w:rsidP="007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08B0" w14:textId="415557EB" w:rsidR="00857C17" w:rsidRPr="009F352E" w:rsidRDefault="009F352E" w:rsidP="00C806F5">
    <w:pPr>
      <w:tabs>
        <w:tab w:val="left" w:pos="-990"/>
        <w:tab w:val="left" w:pos="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b/>
        <w:bCs/>
        <w:sz w:val="22"/>
        <w:szCs w:val="22"/>
      </w:rPr>
    </w:pPr>
    <w:r w:rsidRPr="009F352E">
      <w:rPr>
        <w:rFonts w:ascii="Times New Roman" w:hAnsi="Times New Roman"/>
        <w:sz w:val="22"/>
        <w:szCs w:val="22"/>
      </w:rPr>
      <w:t xml:space="preserve">For Additional Information </w:t>
    </w:r>
    <w:r w:rsidR="00857C17" w:rsidRPr="009F352E">
      <w:rPr>
        <w:rFonts w:ascii="Times New Roman" w:hAnsi="Times New Roman"/>
        <w:sz w:val="22"/>
        <w:szCs w:val="22"/>
      </w:rPr>
      <w:t xml:space="preserve">Contact:  Amy Souders, Cornerstone Government Affairs. (202) 488-9500 or </w:t>
    </w:r>
    <w:hyperlink r:id="rId1" w:history="1">
      <w:r w:rsidR="00857C17" w:rsidRPr="009F352E">
        <w:rPr>
          <w:rStyle w:val="Hyperlink"/>
          <w:rFonts w:ascii="Times New Roman" w:hAnsi="Times New Roman"/>
          <w:sz w:val="22"/>
          <w:szCs w:val="22"/>
        </w:rPr>
        <w:t>asouders@cgagroup.com</w:t>
      </w:r>
    </w:hyperlink>
    <w:r w:rsidR="00857C17" w:rsidRPr="009F352E">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1BCD" w14:textId="77777777" w:rsidR="00323434" w:rsidRDefault="00323434" w:rsidP="007906A5">
      <w:r>
        <w:separator/>
      </w:r>
    </w:p>
  </w:footnote>
  <w:footnote w:type="continuationSeparator" w:id="0">
    <w:p w14:paraId="0E95EED8" w14:textId="77777777" w:rsidR="00323434" w:rsidRDefault="00323434" w:rsidP="0079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9EEE" w14:textId="0A439CB7" w:rsidR="00857C17" w:rsidRDefault="00146D37" w:rsidP="00146D37">
    <w:pPr>
      <w:pStyle w:val="Header"/>
    </w:pPr>
    <w:r>
      <w:rPr>
        <w:noProof/>
      </w:rPr>
      <w:drawing>
        <wp:anchor distT="0" distB="0" distL="114300" distR="114300" simplePos="0" relativeHeight="251659264" behindDoc="1" locked="0" layoutInCell="1" allowOverlap="1" wp14:anchorId="2FA324CD" wp14:editId="3F42E53D">
          <wp:simplePos x="0" y="0"/>
          <wp:positionH relativeFrom="margin">
            <wp:posOffset>1038225</wp:posOffset>
          </wp:positionH>
          <wp:positionV relativeFrom="paragraph">
            <wp:posOffset>-124650</wp:posOffset>
          </wp:positionV>
          <wp:extent cx="4323715" cy="890270"/>
          <wp:effectExtent l="0" t="0" r="635" b="5080"/>
          <wp:wrapTopAndBottom/>
          <wp:docPr id="1" name="Picture 1" descr="NACDD_New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_New200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169" b="19443"/>
                  <a:stretch/>
                </pic:blipFill>
                <pic:spPr bwMode="auto">
                  <a:xfrm>
                    <a:off x="0" y="0"/>
                    <a:ext cx="4323715"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343CE"/>
    <w:multiLevelType w:val="hybridMultilevel"/>
    <w:tmpl w:val="F8A4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B232D"/>
    <w:multiLevelType w:val="hybridMultilevel"/>
    <w:tmpl w:val="79A0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2311802">
    <w:abstractNumId w:val="1"/>
  </w:num>
  <w:num w:numId="2" w16cid:durableId="1311712385">
    <w:abstractNumId w:val="1"/>
  </w:num>
  <w:num w:numId="3" w16cid:durableId="73932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C6"/>
    <w:rsid w:val="0002025E"/>
    <w:rsid w:val="0003602D"/>
    <w:rsid w:val="00045D11"/>
    <w:rsid w:val="00073E1F"/>
    <w:rsid w:val="00080ABC"/>
    <w:rsid w:val="000B670E"/>
    <w:rsid w:val="000C5B1B"/>
    <w:rsid w:val="000D2E1D"/>
    <w:rsid w:val="000D3B48"/>
    <w:rsid w:val="000E3FAD"/>
    <w:rsid w:val="0010780B"/>
    <w:rsid w:val="00122445"/>
    <w:rsid w:val="00124EB9"/>
    <w:rsid w:val="0014540E"/>
    <w:rsid w:val="00146D37"/>
    <w:rsid w:val="0017190E"/>
    <w:rsid w:val="00172E5C"/>
    <w:rsid w:val="001E315D"/>
    <w:rsid w:val="001F316F"/>
    <w:rsid w:val="001F60ED"/>
    <w:rsid w:val="002123EC"/>
    <w:rsid w:val="00262BE4"/>
    <w:rsid w:val="00263F67"/>
    <w:rsid w:val="00282CFB"/>
    <w:rsid w:val="0028704E"/>
    <w:rsid w:val="002E3BC0"/>
    <w:rsid w:val="002E403B"/>
    <w:rsid w:val="002F4DD1"/>
    <w:rsid w:val="00300533"/>
    <w:rsid w:val="003151D2"/>
    <w:rsid w:val="00317B07"/>
    <w:rsid w:val="00323434"/>
    <w:rsid w:val="0033672B"/>
    <w:rsid w:val="00342154"/>
    <w:rsid w:val="00365CA9"/>
    <w:rsid w:val="003742DA"/>
    <w:rsid w:val="0039105C"/>
    <w:rsid w:val="003976F0"/>
    <w:rsid w:val="003A3DE1"/>
    <w:rsid w:val="003A475D"/>
    <w:rsid w:val="003B040C"/>
    <w:rsid w:val="003C3312"/>
    <w:rsid w:val="00456993"/>
    <w:rsid w:val="00456AD0"/>
    <w:rsid w:val="004812B7"/>
    <w:rsid w:val="004A4D03"/>
    <w:rsid w:val="004B1B7A"/>
    <w:rsid w:val="004C26DE"/>
    <w:rsid w:val="004D32D5"/>
    <w:rsid w:val="004D66A9"/>
    <w:rsid w:val="004D6DB4"/>
    <w:rsid w:val="004E2CC8"/>
    <w:rsid w:val="004F2191"/>
    <w:rsid w:val="004F3ECF"/>
    <w:rsid w:val="005000A7"/>
    <w:rsid w:val="005037D2"/>
    <w:rsid w:val="00511AD2"/>
    <w:rsid w:val="00531AD3"/>
    <w:rsid w:val="00553108"/>
    <w:rsid w:val="00560899"/>
    <w:rsid w:val="00563599"/>
    <w:rsid w:val="00584C52"/>
    <w:rsid w:val="00591C3F"/>
    <w:rsid w:val="00594B78"/>
    <w:rsid w:val="005E7220"/>
    <w:rsid w:val="0060068A"/>
    <w:rsid w:val="00603061"/>
    <w:rsid w:val="006209A6"/>
    <w:rsid w:val="006511DF"/>
    <w:rsid w:val="00664763"/>
    <w:rsid w:val="006838D0"/>
    <w:rsid w:val="00684445"/>
    <w:rsid w:val="0068752E"/>
    <w:rsid w:val="006B226B"/>
    <w:rsid w:val="006B7BB7"/>
    <w:rsid w:val="006C0196"/>
    <w:rsid w:val="006C07A8"/>
    <w:rsid w:val="006D092B"/>
    <w:rsid w:val="006D7ECB"/>
    <w:rsid w:val="006E4FD9"/>
    <w:rsid w:val="006F3AEB"/>
    <w:rsid w:val="007010C6"/>
    <w:rsid w:val="007227B0"/>
    <w:rsid w:val="00742C04"/>
    <w:rsid w:val="00743F9E"/>
    <w:rsid w:val="00753543"/>
    <w:rsid w:val="007652A1"/>
    <w:rsid w:val="007707CB"/>
    <w:rsid w:val="007906A5"/>
    <w:rsid w:val="00795AA5"/>
    <w:rsid w:val="007976D4"/>
    <w:rsid w:val="007B21EC"/>
    <w:rsid w:val="007F6D34"/>
    <w:rsid w:val="00803D1E"/>
    <w:rsid w:val="008103BA"/>
    <w:rsid w:val="00820C1E"/>
    <w:rsid w:val="00825682"/>
    <w:rsid w:val="00857C17"/>
    <w:rsid w:val="008F0444"/>
    <w:rsid w:val="008F0C4D"/>
    <w:rsid w:val="0090122C"/>
    <w:rsid w:val="009214D0"/>
    <w:rsid w:val="00961355"/>
    <w:rsid w:val="009930FF"/>
    <w:rsid w:val="009B2341"/>
    <w:rsid w:val="009F352E"/>
    <w:rsid w:val="00A20717"/>
    <w:rsid w:val="00A37D83"/>
    <w:rsid w:val="00A51320"/>
    <w:rsid w:val="00A807B8"/>
    <w:rsid w:val="00AB66C7"/>
    <w:rsid w:val="00AC0AEA"/>
    <w:rsid w:val="00AD5C9C"/>
    <w:rsid w:val="00AE2981"/>
    <w:rsid w:val="00B1580C"/>
    <w:rsid w:val="00B27909"/>
    <w:rsid w:val="00B411A6"/>
    <w:rsid w:val="00B51565"/>
    <w:rsid w:val="00B73EA9"/>
    <w:rsid w:val="00B84C47"/>
    <w:rsid w:val="00BB6AD0"/>
    <w:rsid w:val="00BB6FCF"/>
    <w:rsid w:val="00BC0D5A"/>
    <w:rsid w:val="00BC1D0D"/>
    <w:rsid w:val="00BC1FEF"/>
    <w:rsid w:val="00BD04E6"/>
    <w:rsid w:val="00BF10B4"/>
    <w:rsid w:val="00C05BD5"/>
    <w:rsid w:val="00C12A1D"/>
    <w:rsid w:val="00C3566D"/>
    <w:rsid w:val="00C41ACE"/>
    <w:rsid w:val="00C666ED"/>
    <w:rsid w:val="00C7076F"/>
    <w:rsid w:val="00C7216C"/>
    <w:rsid w:val="00C806F5"/>
    <w:rsid w:val="00C81D26"/>
    <w:rsid w:val="00CA69AD"/>
    <w:rsid w:val="00CB7C64"/>
    <w:rsid w:val="00CD7BE1"/>
    <w:rsid w:val="00CE5893"/>
    <w:rsid w:val="00D0583E"/>
    <w:rsid w:val="00D36A47"/>
    <w:rsid w:val="00D459B8"/>
    <w:rsid w:val="00D64566"/>
    <w:rsid w:val="00D6691E"/>
    <w:rsid w:val="00D76EF5"/>
    <w:rsid w:val="00D85D5A"/>
    <w:rsid w:val="00DC75B8"/>
    <w:rsid w:val="00DE036A"/>
    <w:rsid w:val="00DE2A6F"/>
    <w:rsid w:val="00DF67DD"/>
    <w:rsid w:val="00E236F4"/>
    <w:rsid w:val="00E41FB7"/>
    <w:rsid w:val="00EB0B67"/>
    <w:rsid w:val="00EB623A"/>
    <w:rsid w:val="00EE7BE2"/>
    <w:rsid w:val="00F12A80"/>
    <w:rsid w:val="00F2693C"/>
    <w:rsid w:val="00F32820"/>
    <w:rsid w:val="00F40F4B"/>
    <w:rsid w:val="00F53E5A"/>
    <w:rsid w:val="00F54CF7"/>
    <w:rsid w:val="00F70570"/>
    <w:rsid w:val="00F87039"/>
    <w:rsid w:val="00F91F9E"/>
    <w:rsid w:val="00F96AA8"/>
    <w:rsid w:val="00FC6F43"/>
    <w:rsid w:val="00FD242E"/>
    <w:rsid w:val="00FD4D55"/>
    <w:rsid w:val="00FE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1B3C7"/>
  <w15:docId w15:val="{90AD18B7-ADD3-43F6-A655-089CD42B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tabs>
        <w:tab w:val="center" w:pos="4680"/>
      </w:tabs>
      <w:outlineLvl w:val="0"/>
    </w:pPr>
    <w:rPr>
      <w:rFonts w:ascii="Times New Roman" w:hAnsi="Times New Roman"/>
      <w:b/>
      <w:snapToGrid w:val="0"/>
    </w:rPr>
  </w:style>
  <w:style w:type="paragraph" w:styleId="Heading2">
    <w:name w:val="heading 2"/>
    <w:basedOn w:val="Normal"/>
    <w:next w:val="Normal"/>
    <w:qFormat/>
    <w:pPr>
      <w:keepNext/>
      <w:widowControl w:val="0"/>
      <w:tabs>
        <w:tab w:val="center" w:pos="4680"/>
      </w:tabs>
      <w:jc w:val="center"/>
      <w:outlineLvl w:val="1"/>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z w:val="32"/>
    </w:rPr>
  </w:style>
  <w:style w:type="paragraph" w:styleId="Title">
    <w:name w:val="Title"/>
    <w:basedOn w:val="Normal"/>
    <w:qFormat/>
    <w:pPr>
      <w:jc w:val="center"/>
    </w:pPr>
    <w:rPr>
      <w:rFonts w:ascii="Times New Roman" w:hAnsi="Times New Roman"/>
      <w:b/>
      <w:sz w:val="28"/>
    </w:rPr>
  </w:style>
  <w:style w:type="paragraph" w:styleId="BodyText2">
    <w:name w:val="Body Text 2"/>
    <w:basedOn w:val="Normal"/>
    <w:pPr>
      <w:ind w:right="-720"/>
    </w:pPr>
    <w:rPr>
      <w:rFonts w:ascii="Times New Roman" w:hAnsi="Times New Roman"/>
    </w:rPr>
  </w:style>
  <w:style w:type="paragraph" w:styleId="BodyText3">
    <w:name w:val="Body Text 3"/>
    <w:basedOn w:val="Normal"/>
    <w:pPr>
      <w:ind w:right="-720"/>
    </w:pPr>
    <w:rPr>
      <w:rFonts w:ascii="Times New Roman" w:hAnsi="Times New Roman"/>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E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2A6F"/>
    <w:rPr>
      <w:color w:val="0000FF"/>
      <w:u w:val="single"/>
    </w:rPr>
  </w:style>
  <w:style w:type="character" w:styleId="CommentReference">
    <w:name w:val="annotation reference"/>
    <w:rsid w:val="00080ABC"/>
    <w:rPr>
      <w:sz w:val="16"/>
      <w:szCs w:val="16"/>
    </w:rPr>
  </w:style>
  <w:style w:type="paragraph" w:styleId="CommentText">
    <w:name w:val="annotation text"/>
    <w:basedOn w:val="Normal"/>
    <w:link w:val="CommentTextChar"/>
    <w:rsid w:val="00080ABC"/>
    <w:rPr>
      <w:sz w:val="20"/>
    </w:rPr>
  </w:style>
  <w:style w:type="character" w:customStyle="1" w:styleId="CommentTextChar">
    <w:name w:val="Comment Text Char"/>
    <w:link w:val="CommentText"/>
    <w:rsid w:val="00080ABC"/>
    <w:rPr>
      <w:rFonts w:ascii="Arial" w:hAnsi="Arial"/>
    </w:rPr>
  </w:style>
  <w:style w:type="paragraph" w:styleId="CommentSubject">
    <w:name w:val="annotation subject"/>
    <w:basedOn w:val="CommentText"/>
    <w:next w:val="CommentText"/>
    <w:link w:val="CommentSubjectChar"/>
    <w:rsid w:val="00080ABC"/>
    <w:rPr>
      <w:b/>
      <w:bCs/>
    </w:rPr>
  </w:style>
  <w:style w:type="character" w:customStyle="1" w:styleId="CommentSubjectChar">
    <w:name w:val="Comment Subject Char"/>
    <w:link w:val="CommentSubject"/>
    <w:rsid w:val="00080ABC"/>
    <w:rPr>
      <w:rFonts w:ascii="Arial" w:hAnsi="Arial"/>
      <w:b/>
      <w:bCs/>
    </w:rPr>
  </w:style>
  <w:style w:type="character" w:customStyle="1" w:styleId="UnresolvedMention1">
    <w:name w:val="Unresolved Mention1"/>
    <w:basedOn w:val="DefaultParagraphFont"/>
    <w:uiPriority w:val="99"/>
    <w:semiHidden/>
    <w:unhideWhenUsed/>
    <w:rsid w:val="00531AD3"/>
    <w:rPr>
      <w:color w:val="808080"/>
      <w:shd w:val="clear" w:color="auto" w:fill="E6E6E6"/>
    </w:rPr>
  </w:style>
  <w:style w:type="paragraph" w:styleId="ListParagraph">
    <w:name w:val="List Paragraph"/>
    <w:basedOn w:val="Normal"/>
    <w:uiPriority w:val="34"/>
    <w:qFormat/>
    <w:rsid w:val="00282CFB"/>
    <w:pPr>
      <w:ind w:left="720"/>
      <w:contextualSpacing/>
    </w:pPr>
    <w:rPr>
      <w:rFonts w:ascii="Calibri" w:eastAsiaTheme="minorHAnsi" w:hAnsi="Calibri" w:cs="Calibri"/>
      <w:sz w:val="22"/>
      <w:szCs w:val="22"/>
    </w:rPr>
  </w:style>
  <w:style w:type="paragraph" w:customStyle="1" w:styleId="Default">
    <w:name w:val="Default"/>
    <w:rsid w:val="00282CFB"/>
    <w:pPr>
      <w:autoSpaceDE w:val="0"/>
      <w:autoSpaceDN w:val="0"/>
      <w:adjustRightInd w:val="0"/>
    </w:pPr>
    <w:rPr>
      <w:rFonts w:ascii="Calibri" w:eastAsiaTheme="minorHAnsi" w:hAnsi="Calibri" w:cs="Calibri"/>
      <w:color w:val="000000"/>
      <w:sz w:val="24"/>
      <w:szCs w:val="24"/>
    </w:rPr>
  </w:style>
  <w:style w:type="paragraph" w:styleId="Header">
    <w:name w:val="header"/>
    <w:basedOn w:val="Normal"/>
    <w:link w:val="HeaderChar"/>
    <w:unhideWhenUsed/>
    <w:rsid w:val="007906A5"/>
    <w:pPr>
      <w:tabs>
        <w:tab w:val="center" w:pos="4680"/>
        <w:tab w:val="right" w:pos="9360"/>
      </w:tabs>
    </w:pPr>
  </w:style>
  <w:style w:type="character" w:customStyle="1" w:styleId="HeaderChar">
    <w:name w:val="Header Char"/>
    <w:basedOn w:val="DefaultParagraphFont"/>
    <w:link w:val="Header"/>
    <w:rsid w:val="007906A5"/>
    <w:rPr>
      <w:rFonts w:ascii="Arial" w:hAnsi="Arial"/>
      <w:sz w:val="24"/>
    </w:rPr>
  </w:style>
  <w:style w:type="paragraph" w:styleId="Footer">
    <w:name w:val="footer"/>
    <w:basedOn w:val="Normal"/>
    <w:link w:val="FooterChar"/>
    <w:unhideWhenUsed/>
    <w:rsid w:val="007906A5"/>
    <w:pPr>
      <w:tabs>
        <w:tab w:val="center" w:pos="4680"/>
        <w:tab w:val="right" w:pos="9360"/>
      </w:tabs>
    </w:pPr>
  </w:style>
  <w:style w:type="character" w:customStyle="1" w:styleId="FooterChar">
    <w:name w:val="Footer Char"/>
    <w:basedOn w:val="DefaultParagraphFont"/>
    <w:link w:val="Footer"/>
    <w:rsid w:val="007906A5"/>
    <w:rPr>
      <w:rFonts w:ascii="Arial" w:hAnsi="Arial"/>
      <w:sz w:val="24"/>
    </w:rPr>
  </w:style>
  <w:style w:type="character" w:styleId="FollowedHyperlink">
    <w:name w:val="FollowedHyperlink"/>
    <w:basedOn w:val="DefaultParagraphFont"/>
    <w:semiHidden/>
    <w:unhideWhenUsed/>
    <w:rsid w:val="00553108"/>
    <w:rPr>
      <w:color w:val="800080" w:themeColor="followedHyperlink"/>
      <w:u w:val="single"/>
    </w:rPr>
  </w:style>
  <w:style w:type="character" w:styleId="UnresolvedMention">
    <w:name w:val="Unresolved Mention"/>
    <w:basedOn w:val="DefaultParagraphFont"/>
    <w:uiPriority w:val="99"/>
    <w:semiHidden/>
    <w:unhideWhenUsed/>
    <w:rsid w:val="0050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43605">
      <w:bodyDiv w:val="1"/>
      <w:marLeft w:val="0"/>
      <w:marRight w:val="0"/>
      <w:marTop w:val="0"/>
      <w:marBottom w:val="0"/>
      <w:divBdr>
        <w:top w:val="none" w:sz="0" w:space="0" w:color="auto"/>
        <w:left w:val="none" w:sz="0" w:space="0" w:color="auto"/>
        <w:bottom w:val="none" w:sz="0" w:space="0" w:color="auto"/>
        <w:right w:val="none" w:sz="0" w:space="0" w:color="auto"/>
      </w:divBdr>
    </w:div>
    <w:div w:id="15860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phhsblockgrant/2019evaluationrepor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phhsblockgrant/allocation/index.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ouders@cg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3908-6FF3-46C7-8460-D0FB6B12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Barbara Levine &amp; Associates</Company>
  <LinksUpToDate>false</LinksUpToDate>
  <CharactersWithSpaces>3454</CharactersWithSpaces>
  <SharedDoc>false</SharedDoc>
  <HLinks>
    <vt:vector size="6" baseType="variant">
      <vt:variant>
        <vt:i4>3866667</vt:i4>
      </vt:variant>
      <vt:variant>
        <vt:i4>0</vt:i4>
      </vt:variant>
      <vt:variant>
        <vt:i4>0</vt:i4>
      </vt:variant>
      <vt:variant>
        <vt:i4>5</vt:i4>
      </vt:variant>
      <vt:variant>
        <vt:lpwstr>http://www.chronicdisease.org/governmentaffairs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david.hoffman@health.ny.gov</dc:creator>
  <cp:keywords/>
  <cp:lastModifiedBy>Liz Ruth</cp:lastModifiedBy>
  <cp:revision>3</cp:revision>
  <cp:lastPrinted>2020-02-13T16:39:00Z</cp:lastPrinted>
  <dcterms:created xsi:type="dcterms:W3CDTF">2023-04-05T13:35:00Z</dcterms:created>
  <dcterms:modified xsi:type="dcterms:W3CDTF">2023-04-24T17:34:00Z</dcterms:modified>
</cp:coreProperties>
</file>