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E44F" w14:textId="77777777" w:rsidR="005D005F" w:rsidRDefault="00000000">
      <w:pPr>
        <w:tabs>
          <w:tab w:val="center" w:pos="5510"/>
          <w:tab w:val="left" w:pos="5928"/>
        </w:tabs>
        <w:jc w:val="center"/>
      </w:pPr>
      <w:r>
        <w:rPr>
          <w:b/>
          <w:sz w:val="28"/>
          <w:szCs w:val="28"/>
        </w:rPr>
        <w:t>ALZHEIMER'S DISEASE AND HEALTHY AGING PROGRAM</w:t>
      </w:r>
    </w:p>
    <w:p w14:paraId="024F9135" w14:textId="0AA57060" w:rsidR="005D005F" w:rsidRDefault="00000000">
      <w:pPr>
        <w:tabs>
          <w:tab w:val="center" w:pos="5510"/>
          <w:tab w:val="left" w:pos="5928"/>
        </w:tabs>
        <w:jc w:val="center"/>
      </w:pPr>
      <w:r>
        <w:rPr>
          <w:b/>
          <w:sz w:val="28"/>
          <w:szCs w:val="28"/>
        </w:rPr>
        <w:t>FY 202</w:t>
      </w:r>
      <w:r w:rsidR="00891BD3">
        <w:rPr>
          <w:b/>
          <w:sz w:val="28"/>
          <w:szCs w:val="28"/>
        </w:rPr>
        <w:t>4</w:t>
      </w:r>
      <w:r>
        <w:rPr>
          <w:b/>
          <w:sz w:val="28"/>
          <w:szCs w:val="28"/>
        </w:rPr>
        <w:t xml:space="preserve"> FACT SHEET</w:t>
      </w:r>
    </w:p>
    <w:p w14:paraId="0FD486EC" w14:textId="77777777" w:rsidR="00891BD3" w:rsidRPr="007A38B7" w:rsidRDefault="00891BD3" w:rsidP="00891BD3">
      <w:pPr>
        <w:ind w:right="79"/>
        <w:rPr>
          <w:b/>
          <w:bCs/>
          <w:sz w:val="24"/>
          <w:szCs w:val="24"/>
          <w:u w:val="single"/>
        </w:rPr>
      </w:pPr>
    </w:p>
    <w:p w14:paraId="6E187E10" w14:textId="3E596EDA" w:rsidR="00891BD3" w:rsidRPr="007A38B7" w:rsidRDefault="00891BD3" w:rsidP="009A7AAA">
      <w:pPr>
        <w:ind w:right="79"/>
        <w:rPr>
          <w:b/>
          <w:bCs/>
          <w:sz w:val="24"/>
          <w:szCs w:val="24"/>
          <w:u w:val="single"/>
        </w:rPr>
      </w:pPr>
      <w:r w:rsidRPr="007A38B7">
        <w:rPr>
          <w:b/>
          <w:bCs/>
          <w:sz w:val="24"/>
          <w:szCs w:val="24"/>
          <w:u w:val="single"/>
        </w:rPr>
        <w:t>Background</w:t>
      </w:r>
    </w:p>
    <w:p w14:paraId="07E5E8D8" w14:textId="159E2221" w:rsidR="005D005F" w:rsidRPr="00891BD3" w:rsidRDefault="00000000" w:rsidP="009A7AAA">
      <w:pPr>
        <w:ind w:right="79"/>
        <w:rPr>
          <w:sz w:val="24"/>
          <w:szCs w:val="24"/>
        </w:rPr>
      </w:pPr>
      <w:r w:rsidRPr="00891BD3">
        <w:rPr>
          <w:sz w:val="24"/>
          <w:szCs w:val="24"/>
        </w:rPr>
        <w:t>Currently all states are underfunded to address the public health needs of adults in the</w:t>
      </w:r>
      <w:r w:rsidR="007A38B7">
        <w:rPr>
          <w:sz w:val="24"/>
          <w:szCs w:val="24"/>
        </w:rPr>
        <w:t xml:space="preserve"> United States</w:t>
      </w:r>
      <w:r w:rsidRPr="00891BD3">
        <w:rPr>
          <w:sz w:val="24"/>
          <w:szCs w:val="24"/>
        </w:rPr>
        <w:t xml:space="preserve"> given the rapid growth of our aging population. The scientific community, Congress, and the </w:t>
      </w:r>
      <w:r w:rsidR="007A38B7">
        <w:rPr>
          <w:sz w:val="24"/>
          <w:szCs w:val="24"/>
        </w:rPr>
        <w:t>a</w:t>
      </w:r>
      <w:r w:rsidRPr="00891BD3">
        <w:rPr>
          <w:sz w:val="24"/>
          <w:szCs w:val="24"/>
        </w:rPr>
        <w:t>dministration have identified Alzheimer’s disease (the most common form of dementia) as a priority area, resulting in the first National Plan to Address Alzheimer’s Disease. The suggested increase will enable some states to expand their efforts and allow CDC to fund activities that support state-based programs to address this looming public health crisis, as outlined in The Healthy Brain Initiative’s State and Local Public Health Partnerships to Address Dementia: The 2018-2023 Road Map.</w:t>
      </w:r>
    </w:p>
    <w:p w14:paraId="1A225A79" w14:textId="77777777" w:rsidR="005D005F" w:rsidRPr="00891BD3" w:rsidRDefault="005D005F" w:rsidP="009A7AAA">
      <w:pPr>
        <w:rPr>
          <w:sz w:val="24"/>
          <w:szCs w:val="24"/>
        </w:rPr>
      </w:pPr>
    </w:p>
    <w:p w14:paraId="32F589AF" w14:textId="77777777" w:rsidR="005D005F" w:rsidRPr="00891BD3" w:rsidRDefault="00000000" w:rsidP="009A7AAA">
      <w:pPr>
        <w:ind w:right="9829"/>
        <w:rPr>
          <w:sz w:val="24"/>
          <w:szCs w:val="24"/>
          <w:u w:val="single"/>
        </w:rPr>
      </w:pPr>
      <w:r w:rsidRPr="00891BD3">
        <w:rPr>
          <w:b/>
          <w:sz w:val="24"/>
          <w:szCs w:val="24"/>
          <w:u w:val="single"/>
        </w:rPr>
        <w:t>Basic Facts</w:t>
      </w:r>
    </w:p>
    <w:p w14:paraId="10AFBB1F" w14:textId="1C1F14BB" w:rsidR="005D005F" w:rsidRPr="00891BD3" w:rsidRDefault="00000000" w:rsidP="009A7AAA">
      <w:pPr>
        <w:pStyle w:val="ListParagraph"/>
        <w:numPr>
          <w:ilvl w:val="0"/>
          <w:numId w:val="3"/>
        </w:numPr>
        <w:pBdr>
          <w:top w:val="nil"/>
          <w:left w:val="nil"/>
          <w:bottom w:val="nil"/>
          <w:right w:val="nil"/>
          <w:between w:val="nil"/>
        </w:pBdr>
        <w:tabs>
          <w:tab w:val="left" w:pos="820"/>
        </w:tabs>
        <w:ind w:right="80"/>
        <w:rPr>
          <w:color w:val="000000"/>
          <w:sz w:val="24"/>
          <w:szCs w:val="24"/>
        </w:rPr>
      </w:pPr>
      <w:r w:rsidRPr="00891BD3">
        <w:rPr>
          <w:sz w:val="24"/>
          <w:szCs w:val="24"/>
        </w:rPr>
        <w:t xml:space="preserve">In 2020, an estimated 5.8 million Americans </w:t>
      </w:r>
      <w:r w:rsidR="00491654" w:rsidRPr="00891BD3">
        <w:rPr>
          <w:sz w:val="24"/>
          <w:szCs w:val="24"/>
        </w:rPr>
        <w:t>aged</w:t>
      </w:r>
      <w:r w:rsidRPr="00891BD3">
        <w:rPr>
          <w:sz w:val="24"/>
          <w:szCs w:val="24"/>
        </w:rPr>
        <w:t xml:space="preserve"> 65 years or older had Alzheimer’s disease. This number is projected to </w:t>
      </w:r>
      <w:r w:rsidR="00491654">
        <w:rPr>
          <w:sz w:val="24"/>
          <w:szCs w:val="24"/>
        </w:rPr>
        <w:t>increase</w:t>
      </w:r>
      <w:r w:rsidRPr="00891BD3">
        <w:rPr>
          <w:sz w:val="24"/>
          <w:szCs w:val="24"/>
        </w:rPr>
        <w:t xml:space="preserve"> to about 14 million people by 2060.</w:t>
      </w:r>
    </w:p>
    <w:p w14:paraId="7BD78138" w14:textId="1E6F9A59" w:rsidR="00491654" w:rsidRPr="00491654" w:rsidRDefault="00000000" w:rsidP="009A7AAA">
      <w:pPr>
        <w:pStyle w:val="ListParagraph"/>
        <w:numPr>
          <w:ilvl w:val="0"/>
          <w:numId w:val="3"/>
        </w:numPr>
        <w:pBdr>
          <w:top w:val="nil"/>
          <w:left w:val="nil"/>
          <w:bottom w:val="nil"/>
          <w:right w:val="nil"/>
          <w:between w:val="nil"/>
        </w:pBdr>
        <w:tabs>
          <w:tab w:val="left" w:pos="820"/>
        </w:tabs>
        <w:ind w:right="78"/>
        <w:rPr>
          <w:color w:val="000000"/>
          <w:sz w:val="24"/>
          <w:szCs w:val="24"/>
        </w:rPr>
      </w:pPr>
      <w:r w:rsidRPr="00891BD3">
        <w:rPr>
          <w:color w:val="000000"/>
          <w:sz w:val="24"/>
          <w:szCs w:val="24"/>
        </w:rPr>
        <w:t>According to the CDC,</w:t>
      </w:r>
      <w:r w:rsidRPr="00891BD3">
        <w:rPr>
          <w:sz w:val="24"/>
          <w:szCs w:val="24"/>
        </w:rPr>
        <w:t xml:space="preserve"> Alzheimer’s disease is the seventh</w:t>
      </w:r>
      <w:r w:rsidR="00491654">
        <w:rPr>
          <w:sz w:val="24"/>
          <w:szCs w:val="24"/>
        </w:rPr>
        <w:t xml:space="preserve"> </w:t>
      </w:r>
      <w:r w:rsidRPr="00891BD3">
        <w:rPr>
          <w:sz w:val="24"/>
          <w:szCs w:val="24"/>
        </w:rPr>
        <w:t xml:space="preserve">leading cause of death in the United States. It is the fifth leading cause of death for those age 65 and older. </w:t>
      </w:r>
    </w:p>
    <w:p w14:paraId="40AA3EBF" w14:textId="7793CAC9" w:rsidR="005D005F" w:rsidRPr="00891BD3" w:rsidRDefault="00000000" w:rsidP="009A7AAA">
      <w:pPr>
        <w:pStyle w:val="ListParagraph"/>
        <w:numPr>
          <w:ilvl w:val="0"/>
          <w:numId w:val="3"/>
        </w:numPr>
        <w:pBdr>
          <w:top w:val="nil"/>
          <w:left w:val="nil"/>
          <w:bottom w:val="nil"/>
          <w:right w:val="nil"/>
          <w:between w:val="nil"/>
        </w:pBdr>
        <w:tabs>
          <w:tab w:val="left" w:pos="820"/>
        </w:tabs>
        <w:ind w:right="78"/>
        <w:rPr>
          <w:color w:val="000000"/>
          <w:sz w:val="24"/>
          <w:szCs w:val="24"/>
        </w:rPr>
      </w:pPr>
      <w:r w:rsidRPr="00891BD3">
        <w:rPr>
          <w:sz w:val="24"/>
          <w:szCs w:val="24"/>
        </w:rPr>
        <w:t>Alzheimer’s and dementia deaths have increased by 16% during the COVID-19 pandemic.</w:t>
      </w:r>
    </w:p>
    <w:p w14:paraId="5E35FED9" w14:textId="77777777" w:rsidR="005D005F" w:rsidRPr="00891BD3" w:rsidRDefault="00000000" w:rsidP="009A7AAA">
      <w:pPr>
        <w:pStyle w:val="ListParagraph"/>
        <w:numPr>
          <w:ilvl w:val="0"/>
          <w:numId w:val="3"/>
        </w:numPr>
        <w:pBdr>
          <w:top w:val="nil"/>
          <w:left w:val="nil"/>
          <w:bottom w:val="nil"/>
          <w:right w:val="nil"/>
          <w:between w:val="nil"/>
        </w:pBdr>
        <w:rPr>
          <w:color w:val="000000"/>
          <w:sz w:val="24"/>
          <w:szCs w:val="24"/>
        </w:rPr>
      </w:pPr>
      <w:r w:rsidRPr="00891BD3">
        <w:rPr>
          <w:sz w:val="24"/>
          <w:szCs w:val="24"/>
        </w:rPr>
        <w:t>In 2010, the costs of treating Alzheimer’s disease were projected to fall between $159 billion and $215 billion. By 2040, these costs are projected to jump to between $379 billion and over $500 billion annually.</w:t>
      </w:r>
    </w:p>
    <w:p w14:paraId="587EC663" w14:textId="3A9B937A" w:rsidR="005D005F" w:rsidRPr="00891BD3" w:rsidRDefault="00000000" w:rsidP="009A7AAA">
      <w:pPr>
        <w:pStyle w:val="ListParagraph"/>
        <w:numPr>
          <w:ilvl w:val="0"/>
          <w:numId w:val="3"/>
        </w:numPr>
        <w:pBdr>
          <w:top w:val="nil"/>
          <w:left w:val="nil"/>
          <w:bottom w:val="nil"/>
          <w:right w:val="nil"/>
          <w:between w:val="nil"/>
        </w:pBdr>
        <w:tabs>
          <w:tab w:val="left" w:pos="820"/>
        </w:tabs>
        <w:ind w:right="78"/>
        <w:rPr>
          <w:color w:val="000000"/>
          <w:sz w:val="24"/>
          <w:szCs w:val="24"/>
        </w:rPr>
      </w:pPr>
      <w:r w:rsidRPr="00891BD3">
        <w:rPr>
          <w:color w:val="000000"/>
          <w:sz w:val="24"/>
          <w:szCs w:val="24"/>
        </w:rPr>
        <w:t xml:space="preserve">Living with Alzheimer’s disease compounds medical costs and the burden of disease, </w:t>
      </w:r>
      <w:r w:rsidRPr="00891BD3">
        <w:rPr>
          <w:sz w:val="24"/>
          <w:szCs w:val="24"/>
        </w:rPr>
        <w:t xml:space="preserve">since 80% of adults </w:t>
      </w:r>
      <w:r w:rsidR="00491654" w:rsidRPr="00891BD3">
        <w:rPr>
          <w:sz w:val="24"/>
          <w:szCs w:val="24"/>
        </w:rPr>
        <w:t>aged</w:t>
      </w:r>
      <w:r w:rsidRPr="00891BD3">
        <w:rPr>
          <w:sz w:val="24"/>
          <w:szCs w:val="24"/>
        </w:rPr>
        <w:t xml:space="preserve"> 65 and older have at least one chronic condition while 68% have two or more chronic conditions.</w:t>
      </w:r>
    </w:p>
    <w:p w14:paraId="128DB1F6" w14:textId="4A74E66A" w:rsidR="005D005F" w:rsidRDefault="005D005F" w:rsidP="009A7AAA">
      <w:pPr>
        <w:rPr>
          <w:sz w:val="24"/>
          <w:szCs w:val="24"/>
          <w:u w:val="single"/>
        </w:rPr>
      </w:pPr>
    </w:p>
    <w:p w14:paraId="01B8416F" w14:textId="0A153811" w:rsidR="00891BD3" w:rsidRPr="00891BD3" w:rsidRDefault="00891BD3" w:rsidP="009A7AAA">
      <w:pPr>
        <w:rPr>
          <w:b/>
          <w:bCs/>
          <w:sz w:val="24"/>
          <w:szCs w:val="24"/>
          <w:u w:val="single"/>
        </w:rPr>
      </w:pPr>
      <w:r w:rsidRPr="00891BD3">
        <w:rPr>
          <w:b/>
          <w:bCs/>
          <w:sz w:val="24"/>
          <w:szCs w:val="24"/>
          <w:u w:val="single"/>
        </w:rPr>
        <w:t>Use of Evidence-Based Strategies</w:t>
      </w:r>
    </w:p>
    <w:p w14:paraId="1735CE35" w14:textId="77777777" w:rsidR="005D005F" w:rsidRPr="00891BD3" w:rsidRDefault="00000000" w:rsidP="009A7AAA">
      <w:pPr>
        <w:pStyle w:val="ListParagraph"/>
        <w:numPr>
          <w:ilvl w:val="0"/>
          <w:numId w:val="4"/>
        </w:numPr>
        <w:pBdr>
          <w:top w:val="nil"/>
          <w:left w:val="nil"/>
          <w:bottom w:val="nil"/>
          <w:right w:val="nil"/>
          <w:between w:val="nil"/>
        </w:pBdr>
        <w:tabs>
          <w:tab w:val="left" w:pos="270"/>
          <w:tab w:val="left" w:pos="820"/>
        </w:tabs>
        <w:ind w:right="87"/>
        <w:rPr>
          <w:color w:val="000000"/>
          <w:sz w:val="24"/>
          <w:szCs w:val="24"/>
        </w:rPr>
      </w:pPr>
      <w:r w:rsidRPr="00891BD3">
        <w:rPr>
          <w:color w:val="000000"/>
          <w:sz w:val="24"/>
          <w:szCs w:val="24"/>
        </w:rPr>
        <w:t>Prevention and health promotion strategies exist to reduce many of the risk factors for unnecessary disability and death. Older adults often benefit the most from public health interventions.</w:t>
      </w:r>
    </w:p>
    <w:p w14:paraId="0634872C" w14:textId="0093FB7B" w:rsidR="005D005F" w:rsidRPr="00891BD3" w:rsidRDefault="00000000" w:rsidP="009A7AAA">
      <w:pPr>
        <w:pStyle w:val="ListParagraph"/>
        <w:numPr>
          <w:ilvl w:val="0"/>
          <w:numId w:val="4"/>
        </w:numPr>
        <w:pBdr>
          <w:top w:val="nil"/>
          <w:left w:val="nil"/>
          <w:bottom w:val="nil"/>
          <w:right w:val="nil"/>
          <w:between w:val="nil"/>
        </w:pBdr>
        <w:tabs>
          <w:tab w:val="left" w:pos="270"/>
          <w:tab w:val="left" w:pos="820"/>
        </w:tabs>
        <w:ind w:right="76"/>
        <w:rPr>
          <w:color w:val="000000"/>
          <w:sz w:val="24"/>
          <w:szCs w:val="24"/>
        </w:rPr>
      </w:pPr>
      <w:r w:rsidRPr="00891BD3">
        <w:rPr>
          <w:color w:val="000000"/>
          <w:sz w:val="24"/>
          <w:szCs w:val="24"/>
        </w:rPr>
        <w:t xml:space="preserve">Medical care alone will not meet the needs of older adults. Advanced planning, clinical-community linkages, social </w:t>
      </w:r>
      <w:proofErr w:type="gramStart"/>
      <w:r w:rsidRPr="00891BD3">
        <w:rPr>
          <w:color w:val="000000"/>
          <w:sz w:val="24"/>
          <w:szCs w:val="24"/>
        </w:rPr>
        <w:t>supports</w:t>
      </w:r>
      <w:proofErr w:type="gramEnd"/>
      <w:r w:rsidR="00491654">
        <w:rPr>
          <w:color w:val="000000"/>
          <w:sz w:val="24"/>
          <w:szCs w:val="24"/>
        </w:rPr>
        <w:t>,</w:t>
      </w:r>
      <w:r w:rsidRPr="00891BD3">
        <w:rPr>
          <w:color w:val="000000"/>
          <w:sz w:val="24"/>
          <w:szCs w:val="24"/>
        </w:rPr>
        <w:t xml:space="preserve"> and interventions outside of the aging services network are crucial to respond to older adults’ needs.</w:t>
      </w:r>
    </w:p>
    <w:p w14:paraId="28325424" w14:textId="77777777" w:rsidR="005D005F" w:rsidRPr="00891BD3" w:rsidRDefault="00000000" w:rsidP="009A7AAA">
      <w:pPr>
        <w:pStyle w:val="ListParagraph"/>
        <w:numPr>
          <w:ilvl w:val="0"/>
          <w:numId w:val="4"/>
        </w:numPr>
        <w:pBdr>
          <w:top w:val="nil"/>
          <w:left w:val="nil"/>
          <w:bottom w:val="nil"/>
          <w:right w:val="nil"/>
          <w:between w:val="nil"/>
        </w:pBdr>
        <w:tabs>
          <w:tab w:val="left" w:pos="270"/>
          <w:tab w:val="left" w:pos="820"/>
        </w:tabs>
        <w:ind w:right="79"/>
        <w:rPr>
          <w:color w:val="000000"/>
          <w:sz w:val="24"/>
          <w:szCs w:val="24"/>
        </w:rPr>
      </w:pPr>
      <w:r w:rsidRPr="00891BD3">
        <w:rPr>
          <w:color w:val="000000"/>
          <w:sz w:val="24"/>
          <w:szCs w:val="24"/>
        </w:rPr>
        <w:t xml:space="preserve">State public health agencies have an integral role to play in supporting the evidence, coordinating programs across state </w:t>
      </w:r>
      <w:r w:rsidRPr="00891BD3">
        <w:rPr>
          <w:sz w:val="24"/>
          <w:szCs w:val="24"/>
        </w:rPr>
        <w:t>governments</w:t>
      </w:r>
      <w:r w:rsidRPr="00891BD3">
        <w:rPr>
          <w:color w:val="000000"/>
          <w:sz w:val="24"/>
          <w:szCs w:val="24"/>
        </w:rPr>
        <w:t>, educating providers and the public, and employing a population-based approach that will complement the individual and small group approaches of medical care and social care.</w:t>
      </w:r>
    </w:p>
    <w:p w14:paraId="2DD2A28D" w14:textId="77777777" w:rsidR="005D005F" w:rsidRPr="00891BD3" w:rsidRDefault="00000000" w:rsidP="009A7AAA">
      <w:pPr>
        <w:pStyle w:val="ListParagraph"/>
        <w:numPr>
          <w:ilvl w:val="0"/>
          <w:numId w:val="4"/>
        </w:numPr>
        <w:pBdr>
          <w:top w:val="nil"/>
          <w:left w:val="nil"/>
          <w:bottom w:val="nil"/>
          <w:right w:val="nil"/>
          <w:between w:val="nil"/>
        </w:pBdr>
        <w:tabs>
          <w:tab w:val="left" w:pos="270"/>
        </w:tabs>
        <w:rPr>
          <w:color w:val="000000"/>
          <w:sz w:val="24"/>
          <w:szCs w:val="24"/>
        </w:rPr>
      </w:pPr>
      <w:r w:rsidRPr="00891BD3">
        <w:rPr>
          <w:color w:val="000000"/>
          <w:sz w:val="24"/>
          <w:szCs w:val="24"/>
        </w:rPr>
        <w:t>Every state should have a comprehensive plan to address Alzheimer’s disease.</w:t>
      </w:r>
    </w:p>
    <w:p w14:paraId="04B2BAEA" w14:textId="77777777" w:rsidR="005D005F" w:rsidRPr="00891BD3" w:rsidRDefault="005D005F" w:rsidP="009A7AAA">
      <w:pPr>
        <w:rPr>
          <w:sz w:val="24"/>
          <w:szCs w:val="24"/>
        </w:rPr>
      </w:pPr>
    </w:p>
    <w:p w14:paraId="57B9659E" w14:textId="77777777" w:rsidR="005D005F" w:rsidRPr="00891BD3" w:rsidRDefault="00000000" w:rsidP="009A7AAA">
      <w:pPr>
        <w:rPr>
          <w:b/>
          <w:sz w:val="24"/>
          <w:szCs w:val="24"/>
          <w:u w:val="single"/>
        </w:rPr>
      </w:pPr>
      <w:r w:rsidRPr="00891BD3">
        <w:rPr>
          <w:b/>
          <w:sz w:val="24"/>
          <w:szCs w:val="24"/>
          <w:u w:val="single"/>
        </w:rPr>
        <w:t>CDC's Alzheimer’s Disease and Healthy Aging Program</w:t>
      </w:r>
    </w:p>
    <w:p w14:paraId="7E7C4A97" w14:textId="77777777" w:rsidR="005D005F" w:rsidRPr="00891BD3" w:rsidRDefault="00000000" w:rsidP="009A7AAA">
      <w:pPr>
        <w:ind w:right="347"/>
        <w:rPr>
          <w:sz w:val="24"/>
          <w:szCs w:val="24"/>
        </w:rPr>
      </w:pPr>
      <w:r w:rsidRPr="00891BD3">
        <w:rPr>
          <w:sz w:val="24"/>
          <w:szCs w:val="24"/>
        </w:rPr>
        <w:t xml:space="preserve">Consistent with the BOLD Act, CDC </w:t>
      </w:r>
      <w:r w:rsidR="00891BD3">
        <w:rPr>
          <w:sz w:val="24"/>
          <w:szCs w:val="24"/>
        </w:rPr>
        <w:t>has funded</w:t>
      </w:r>
      <w:r w:rsidRPr="00891BD3">
        <w:rPr>
          <w:sz w:val="24"/>
          <w:szCs w:val="24"/>
        </w:rPr>
        <w:t xml:space="preserve"> pilot programs in state and local health agencies and Public Health Centers of Excellence that will promote widespread implementation of the Public Health Roadmap. This will allow state and local activities to scale up as well as partner with groups like NACDD to ensure education of public health professionals and the integration of risk reduction messages for Alzheimer’s disease into existing chronic disease messages and programs. The public health agencies will develop comprehensive plans to support the implementation, availability</w:t>
      </w:r>
      <w:r w:rsidR="00891BD3">
        <w:rPr>
          <w:sz w:val="24"/>
          <w:szCs w:val="24"/>
        </w:rPr>
        <w:t>,</w:t>
      </w:r>
      <w:r w:rsidRPr="00891BD3">
        <w:rPr>
          <w:sz w:val="24"/>
          <w:szCs w:val="24"/>
        </w:rPr>
        <w:t xml:space="preserve"> and dissemination of effective strategies, consistent with the Healthy Brain Initiative Road Map. </w:t>
      </w:r>
    </w:p>
    <w:sectPr w:rsidR="005D005F" w:rsidRPr="00891BD3" w:rsidSect="00EF424E">
      <w:footerReference w:type="default" r:id="rId8"/>
      <w:headerReference w:type="first" r:id="rId9"/>
      <w:footerReference w:type="first" r:id="rId10"/>
      <w:pgSz w:w="12240" w:h="15840"/>
      <w:pgMar w:top="440" w:right="600" w:bottom="280" w:left="620" w:header="72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4EC6" w14:textId="77777777" w:rsidR="00A24E5E" w:rsidRDefault="00A24E5E" w:rsidP="007A38B7">
      <w:r>
        <w:separator/>
      </w:r>
    </w:p>
  </w:endnote>
  <w:endnote w:type="continuationSeparator" w:id="0">
    <w:p w14:paraId="20DFEA36" w14:textId="77777777" w:rsidR="00A24E5E" w:rsidRDefault="00A24E5E" w:rsidP="007A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9C09" w14:textId="59C18337" w:rsidR="007A38B7" w:rsidRDefault="007A38B7">
    <w:pPr>
      <w:pStyle w:val="Footer"/>
    </w:pPr>
  </w:p>
  <w:p w14:paraId="46ACC278" w14:textId="77777777" w:rsidR="007A38B7" w:rsidRDefault="007A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08F2" w14:textId="22AF942C" w:rsidR="009A7AAA" w:rsidRPr="0020175D" w:rsidRDefault="009A7AAA" w:rsidP="009A7AAA">
    <w:pPr>
      <w:jc w:val="both"/>
      <w:rPr>
        <w:color w:val="0000FF"/>
        <w:sz w:val="22"/>
        <w:u w:val="single" w:color="0000FF"/>
      </w:rPr>
    </w:pPr>
    <w:r>
      <w:rPr>
        <w:spacing w:val="-1"/>
        <w:sz w:val="22"/>
      </w:rPr>
      <w:t xml:space="preserve">For More Information </w:t>
    </w:r>
    <w:r w:rsidRPr="0020175D">
      <w:rPr>
        <w:spacing w:val="-1"/>
        <w:sz w:val="22"/>
      </w:rPr>
      <w:t>C</w:t>
    </w:r>
    <w:r w:rsidRPr="0020175D">
      <w:rPr>
        <w:sz w:val="22"/>
      </w:rPr>
      <w:t>on</w:t>
    </w:r>
    <w:r w:rsidRPr="0020175D">
      <w:rPr>
        <w:spacing w:val="1"/>
        <w:sz w:val="22"/>
      </w:rPr>
      <w:t>t</w:t>
    </w:r>
    <w:r w:rsidRPr="0020175D">
      <w:rPr>
        <w:sz w:val="22"/>
      </w:rPr>
      <w:t>a</w:t>
    </w:r>
    <w:r w:rsidRPr="0020175D">
      <w:rPr>
        <w:spacing w:val="-2"/>
        <w:sz w:val="22"/>
      </w:rPr>
      <w:t>c</w:t>
    </w:r>
    <w:r w:rsidRPr="0020175D">
      <w:rPr>
        <w:spacing w:val="1"/>
        <w:sz w:val="22"/>
      </w:rPr>
      <w:t>t</w:t>
    </w:r>
    <w:r w:rsidRPr="0020175D">
      <w:rPr>
        <w:sz w:val="22"/>
      </w:rPr>
      <w:t>:</w:t>
    </w:r>
    <w:r w:rsidRPr="0020175D">
      <w:rPr>
        <w:spacing w:val="54"/>
        <w:sz w:val="22"/>
      </w:rPr>
      <w:t xml:space="preserve"> </w:t>
    </w:r>
    <w:r w:rsidRPr="0020175D">
      <w:rPr>
        <w:spacing w:val="-1"/>
        <w:sz w:val="22"/>
      </w:rPr>
      <w:t>Am</w:t>
    </w:r>
    <w:r w:rsidRPr="0020175D">
      <w:rPr>
        <w:sz w:val="22"/>
      </w:rPr>
      <w:t>y</w:t>
    </w:r>
    <w:r w:rsidRPr="0020175D">
      <w:rPr>
        <w:spacing w:val="-2"/>
        <w:sz w:val="22"/>
      </w:rPr>
      <w:t xml:space="preserve"> </w:t>
    </w:r>
    <w:r w:rsidRPr="0020175D">
      <w:rPr>
        <w:sz w:val="22"/>
      </w:rPr>
      <w:t>Soude</w:t>
    </w:r>
    <w:r w:rsidRPr="0020175D">
      <w:rPr>
        <w:spacing w:val="1"/>
        <w:sz w:val="22"/>
      </w:rPr>
      <w:t>r</w:t>
    </w:r>
    <w:r w:rsidRPr="0020175D">
      <w:rPr>
        <w:sz w:val="22"/>
      </w:rPr>
      <w:t>s, C</w:t>
    </w:r>
    <w:r w:rsidRPr="0020175D">
      <w:rPr>
        <w:spacing w:val="-3"/>
        <w:sz w:val="22"/>
      </w:rPr>
      <w:t>o</w:t>
    </w:r>
    <w:r w:rsidRPr="0020175D">
      <w:rPr>
        <w:spacing w:val="1"/>
        <w:sz w:val="22"/>
      </w:rPr>
      <w:t>r</w:t>
    </w:r>
    <w:r w:rsidRPr="0020175D">
      <w:rPr>
        <w:sz w:val="22"/>
      </w:rPr>
      <w:t>ne</w:t>
    </w:r>
    <w:r w:rsidRPr="0020175D">
      <w:rPr>
        <w:spacing w:val="-1"/>
        <w:sz w:val="22"/>
      </w:rPr>
      <w:t>r</w:t>
    </w:r>
    <w:r w:rsidRPr="0020175D">
      <w:rPr>
        <w:sz w:val="22"/>
      </w:rPr>
      <w:t>s</w:t>
    </w:r>
    <w:r w:rsidRPr="0020175D">
      <w:rPr>
        <w:spacing w:val="1"/>
        <w:sz w:val="22"/>
      </w:rPr>
      <w:t>t</w:t>
    </w:r>
    <w:r w:rsidRPr="0020175D">
      <w:rPr>
        <w:spacing w:val="-2"/>
        <w:sz w:val="22"/>
      </w:rPr>
      <w:t>o</w:t>
    </w:r>
    <w:r w:rsidRPr="0020175D">
      <w:rPr>
        <w:sz w:val="22"/>
      </w:rPr>
      <w:t>ne Go</w:t>
    </w:r>
    <w:r w:rsidRPr="0020175D">
      <w:rPr>
        <w:spacing w:val="-3"/>
        <w:sz w:val="22"/>
      </w:rPr>
      <w:t>v</w:t>
    </w:r>
    <w:r w:rsidRPr="0020175D">
      <w:rPr>
        <w:sz w:val="22"/>
      </w:rPr>
      <w:t>e</w:t>
    </w:r>
    <w:r w:rsidRPr="0020175D">
      <w:rPr>
        <w:spacing w:val="1"/>
        <w:sz w:val="22"/>
      </w:rPr>
      <w:t>r</w:t>
    </w:r>
    <w:r w:rsidRPr="0020175D">
      <w:rPr>
        <w:sz w:val="22"/>
      </w:rPr>
      <w:t>n</w:t>
    </w:r>
    <w:r w:rsidRPr="0020175D">
      <w:rPr>
        <w:spacing w:val="-4"/>
        <w:sz w:val="22"/>
      </w:rPr>
      <w:t>m</w:t>
    </w:r>
    <w:r w:rsidRPr="0020175D">
      <w:rPr>
        <w:sz w:val="22"/>
      </w:rPr>
      <w:t>ent</w:t>
    </w:r>
    <w:r w:rsidRPr="0020175D">
      <w:rPr>
        <w:spacing w:val="1"/>
        <w:sz w:val="22"/>
      </w:rPr>
      <w:t xml:space="preserve"> </w:t>
    </w:r>
    <w:r w:rsidRPr="0020175D">
      <w:rPr>
        <w:spacing w:val="-1"/>
        <w:sz w:val="22"/>
      </w:rPr>
      <w:t>A</w:t>
    </w:r>
    <w:r w:rsidRPr="0020175D">
      <w:rPr>
        <w:spacing w:val="-2"/>
        <w:sz w:val="22"/>
      </w:rPr>
      <w:t>f</w:t>
    </w:r>
    <w:r w:rsidRPr="0020175D">
      <w:rPr>
        <w:spacing w:val="1"/>
        <w:sz w:val="22"/>
      </w:rPr>
      <w:t>f</w:t>
    </w:r>
    <w:r w:rsidRPr="0020175D">
      <w:rPr>
        <w:spacing w:val="-2"/>
        <w:sz w:val="22"/>
      </w:rPr>
      <w:t>a</w:t>
    </w:r>
    <w:r w:rsidRPr="0020175D">
      <w:rPr>
        <w:spacing w:val="1"/>
        <w:sz w:val="22"/>
      </w:rPr>
      <w:t>ir</w:t>
    </w:r>
    <w:r w:rsidRPr="0020175D">
      <w:rPr>
        <w:spacing w:val="4"/>
        <w:sz w:val="22"/>
      </w:rPr>
      <w:t>s</w:t>
    </w:r>
    <w:r w:rsidRPr="0020175D">
      <w:rPr>
        <w:sz w:val="22"/>
      </w:rPr>
      <w:t>.</w:t>
    </w:r>
    <w:r w:rsidRPr="0020175D">
      <w:rPr>
        <w:spacing w:val="-2"/>
        <w:sz w:val="22"/>
      </w:rPr>
      <w:t xml:space="preserve"> </w:t>
    </w:r>
    <w:r w:rsidRPr="0020175D">
      <w:rPr>
        <w:spacing w:val="1"/>
        <w:sz w:val="22"/>
      </w:rPr>
      <w:t>(</w:t>
    </w:r>
    <w:r w:rsidRPr="0020175D">
      <w:rPr>
        <w:sz w:val="22"/>
      </w:rPr>
      <w:t>20</w:t>
    </w:r>
    <w:r w:rsidRPr="0020175D">
      <w:rPr>
        <w:spacing w:val="-2"/>
        <w:sz w:val="22"/>
      </w:rPr>
      <w:t>2</w:t>
    </w:r>
    <w:r w:rsidRPr="0020175D">
      <w:rPr>
        <w:sz w:val="22"/>
      </w:rPr>
      <w:t>)</w:t>
    </w:r>
    <w:r w:rsidRPr="0020175D">
      <w:rPr>
        <w:spacing w:val="1"/>
        <w:sz w:val="22"/>
      </w:rPr>
      <w:t xml:space="preserve"> </w:t>
    </w:r>
    <w:r w:rsidRPr="0020175D">
      <w:rPr>
        <w:sz w:val="22"/>
      </w:rPr>
      <w:t>48</w:t>
    </w:r>
    <w:r w:rsidRPr="0020175D">
      <w:rPr>
        <w:spacing w:val="1"/>
        <w:sz w:val="22"/>
      </w:rPr>
      <w:t>8</w:t>
    </w:r>
    <w:r w:rsidRPr="0020175D">
      <w:rPr>
        <w:spacing w:val="-4"/>
        <w:sz w:val="22"/>
      </w:rPr>
      <w:t>-</w:t>
    </w:r>
    <w:r w:rsidRPr="0020175D">
      <w:rPr>
        <w:sz w:val="22"/>
      </w:rPr>
      <w:t xml:space="preserve">9500 or </w:t>
    </w:r>
    <w:r w:rsidRPr="0020175D">
      <w:rPr>
        <w:color w:val="0000FF"/>
        <w:sz w:val="22"/>
        <w:u w:val="single" w:color="0000FF"/>
      </w:rPr>
      <w:t>a</w:t>
    </w:r>
    <w:r w:rsidRPr="0020175D">
      <w:rPr>
        <w:color w:val="0000FF"/>
        <w:spacing w:val="1"/>
        <w:sz w:val="22"/>
        <w:u w:val="single" w:color="0000FF"/>
      </w:rPr>
      <w:t>s</w:t>
    </w:r>
    <w:r w:rsidRPr="0020175D">
      <w:rPr>
        <w:color w:val="0000FF"/>
        <w:sz w:val="22"/>
        <w:u w:val="single" w:color="0000FF"/>
      </w:rPr>
      <w:t>o</w:t>
    </w:r>
    <w:r w:rsidRPr="0020175D">
      <w:rPr>
        <w:color w:val="0000FF"/>
        <w:spacing w:val="-2"/>
        <w:sz w:val="22"/>
        <w:u w:val="single" w:color="0000FF"/>
      </w:rPr>
      <w:t>u</w:t>
    </w:r>
    <w:r w:rsidRPr="0020175D">
      <w:rPr>
        <w:color w:val="0000FF"/>
        <w:sz w:val="22"/>
        <w:u w:val="single" w:color="0000FF"/>
      </w:rPr>
      <w:t>de</w:t>
    </w:r>
    <w:r w:rsidRPr="0020175D">
      <w:rPr>
        <w:color w:val="0000FF"/>
        <w:spacing w:val="1"/>
        <w:sz w:val="22"/>
        <w:u w:val="single" w:color="0000FF"/>
      </w:rPr>
      <w:t>r</w:t>
    </w:r>
    <w:r w:rsidRPr="0020175D">
      <w:rPr>
        <w:color w:val="0000FF"/>
        <w:sz w:val="22"/>
        <w:u w:val="single" w:color="0000FF"/>
      </w:rPr>
      <w:t>s</w:t>
    </w:r>
    <w:r w:rsidRPr="0020175D">
      <w:rPr>
        <w:color w:val="0000FF"/>
        <w:spacing w:val="-1"/>
        <w:sz w:val="22"/>
        <w:u w:val="single" w:color="0000FF"/>
      </w:rPr>
      <w:t>@</w:t>
    </w:r>
    <w:r w:rsidRPr="0020175D">
      <w:rPr>
        <w:color w:val="0000FF"/>
        <w:sz w:val="22"/>
        <w:u w:val="single" w:color="0000FF"/>
      </w:rPr>
      <w:t>c</w:t>
    </w:r>
    <w:r w:rsidRPr="0020175D">
      <w:rPr>
        <w:color w:val="0000FF"/>
        <w:spacing w:val="-2"/>
        <w:sz w:val="22"/>
        <w:u w:val="single" w:color="0000FF"/>
      </w:rPr>
      <w:t>g</w:t>
    </w:r>
    <w:r w:rsidRPr="0020175D">
      <w:rPr>
        <w:color w:val="0000FF"/>
        <w:sz w:val="22"/>
        <w:u w:val="single" w:color="0000FF"/>
      </w:rPr>
      <w:t>a</w:t>
    </w:r>
    <w:r w:rsidRPr="0020175D">
      <w:rPr>
        <w:color w:val="0000FF"/>
        <w:spacing w:val="-2"/>
        <w:sz w:val="22"/>
        <w:u w:val="single" w:color="0000FF"/>
      </w:rPr>
      <w:t>g</w:t>
    </w:r>
    <w:r w:rsidRPr="0020175D">
      <w:rPr>
        <w:color w:val="0000FF"/>
        <w:spacing w:val="1"/>
        <w:sz w:val="22"/>
        <w:u w:val="single" w:color="0000FF"/>
      </w:rPr>
      <w:t>r</w:t>
    </w:r>
    <w:r w:rsidRPr="0020175D">
      <w:rPr>
        <w:color w:val="0000FF"/>
        <w:sz w:val="22"/>
        <w:u w:val="single" w:color="0000FF"/>
      </w:rPr>
      <w:t>oup.com</w:t>
    </w:r>
  </w:p>
  <w:p w14:paraId="2DF9ECBE" w14:textId="2051D78F" w:rsidR="009A7AAA" w:rsidRDefault="009A7AAA">
    <w:pPr>
      <w:pStyle w:val="Footer"/>
    </w:pPr>
  </w:p>
  <w:p w14:paraId="078254C0" w14:textId="77777777" w:rsidR="009A7AAA" w:rsidRDefault="009A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13765" w14:textId="77777777" w:rsidR="00A24E5E" w:rsidRDefault="00A24E5E" w:rsidP="007A38B7">
      <w:r>
        <w:separator/>
      </w:r>
    </w:p>
  </w:footnote>
  <w:footnote w:type="continuationSeparator" w:id="0">
    <w:p w14:paraId="06D72E49" w14:textId="77777777" w:rsidR="00A24E5E" w:rsidRDefault="00A24E5E" w:rsidP="007A3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9DB1" w14:textId="0DAA4DCD" w:rsidR="009A7AAA" w:rsidRDefault="009A7AAA" w:rsidP="009A7AAA">
    <w:pPr>
      <w:pStyle w:val="Header"/>
      <w:jc w:val="center"/>
    </w:pPr>
    <w:r w:rsidRPr="009A7AAA">
      <w:rPr>
        <w:noProof/>
      </w:rPr>
      <w:drawing>
        <wp:inline distT="0" distB="0" distL="0" distR="0" wp14:anchorId="6293FFE2" wp14:editId="62CC63B5">
          <wp:extent cx="4135755" cy="877570"/>
          <wp:effectExtent l="0" t="0" r="0" b="0"/>
          <wp:docPr id="1789871945" name="Picture 1789871945"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t="15867" b="17984"/>
                  <a:stretch/>
                </pic:blipFill>
                <pic:spPr bwMode="auto">
                  <a:xfrm>
                    <a:off x="0" y="0"/>
                    <a:ext cx="4135755" cy="8775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2671A5"/>
    <w:multiLevelType w:val="hybridMultilevel"/>
    <w:tmpl w:val="20C4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E31F8"/>
    <w:multiLevelType w:val="multilevel"/>
    <w:tmpl w:val="5624124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 w15:restartNumberingAfterBreak="0">
    <w:nsid w:val="72660449"/>
    <w:multiLevelType w:val="hybridMultilevel"/>
    <w:tmpl w:val="1940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22F2D"/>
    <w:multiLevelType w:val="multilevel"/>
    <w:tmpl w:val="05422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8746121">
    <w:abstractNumId w:val="1"/>
  </w:num>
  <w:num w:numId="2" w16cid:durableId="378626332">
    <w:abstractNumId w:val="3"/>
  </w:num>
  <w:num w:numId="3" w16cid:durableId="1884948215">
    <w:abstractNumId w:val="2"/>
  </w:num>
  <w:num w:numId="4" w16cid:durableId="822355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5F"/>
    <w:rsid w:val="00491654"/>
    <w:rsid w:val="005D005F"/>
    <w:rsid w:val="007A38B7"/>
    <w:rsid w:val="007C1008"/>
    <w:rsid w:val="00891BD3"/>
    <w:rsid w:val="008F63E1"/>
    <w:rsid w:val="009A7AAA"/>
    <w:rsid w:val="00A24E5E"/>
    <w:rsid w:val="00E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0AF3"/>
  <w15:docId w15:val="{C3D967E4-3E97-4E70-800A-06CC6B4D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8FA"/>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E114F"/>
    <w:pPr>
      <w:ind w:left="720"/>
      <w:contextualSpacing/>
    </w:pPr>
  </w:style>
  <w:style w:type="paragraph" w:styleId="BalloonText">
    <w:name w:val="Balloon Text"/>
    <w:basedOn w:val="Normal"/>
    <w:link w:val="BalloonTextChar"/>
    <w:uiPriority w:val="99"/>
    <w:semiHidden/>
    <w:unhideWhenUsed/>
    <w:rsid w:val="000E1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14F"/>
    <w:rPr>
      <w:rFonts w:ascii="Segoe UI" w:hAnsi="Segoe UI" w:cs="Segoe UI"/>
      <w:sz w:val="18"/>
      <w:szCs w:val="18"/>
    </w:rPr>
  </w:style>
  <w:style w:type="table" w:styleId="TableGrid">
    <w:name w:val="Table Grid"/>
    <w:basedOn w:val="TableNormal"/>
    <w:uiPriority w:val="59"/>
    <w:rsid w:val="002F1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18AA"/>
  </w:style>
  <w:style w:type="character" w:styleId="CommentReference">
    <w:name w:val="annotation reference"/>
    <w:basedOn w:val="DefaultParagraphFont"/>
    <w:uiPriority w:val="99"/>
    <w:semiHidden/>
    <w:unhideWhenUsed/>
    <w:rsid w:val="000F289F"/>
    <w:rPr>
      <w:sz w:val="16"/>
      <w:szCs w:val="16"/>
    </w:rPr>
  </w:style>
  <w:style w:type="paragraph" w:styleId="CommentText">
    <w:name w:val="annotation text"/>
    <w:basedOn w:val="Normal"/>
    <w:link w:val="CommentTextChar"/>
    <w:uiPriority w:val="99"/>
    <w:semiHidden/>
    <w:unhideWhenUsed/>
    <w:rsid w:val="000F289F"/>
  </w:style>
  <w:style w:type="character" w:customStyle="1" w:styleId="CommentTextChar">
    <w:name w:val="Comment Text Char"/>
    <w:basedOn w:val="DefaultParagraphFont"/>
    <w:link w:val="CommentText"/>
    <w:uiPriority w:val="99"/>
    <w:semiHidden/>
    <w:rsid w:val="000F289F"/>
  </w:style>
  <w:style w:type="paragraph" w:styleId="CommentSubject">
    <w:name w:val="annotation subject"/>
    <w:basedOn w:val="CommentText"/>
    <w:next w:val="CommentText"/>
    <w:link w:val="CommentSubjectChar"/>
    <w:uiPriority w:val="99"/>
    <w:semiHidden/>
    <w:unhideWhenUsed/>
    <w:rsid w:val="000F289F"/>
    <w:rPr>
      <w:b/>
      <w:bCs/>
    </w:rPr>
  </w:style>
  <w:style w:type="character" w:customStyle="1" w:styleId="CommentSubjectChar">
    <w:name w:val="Comment Subject Char"/>
    <w:basedOn w:val="CommentTextChar"/>
    <w:link w:val="CommentSubject"/>
    <w:uiPriority w:val="99"/>
    <w:semiHidden/>
    <w:rsid w:val="000F289F"/>
    <w:rPr>
      <w:b/>
      <w:bCs/>
    </w:rPr>
  </w:style>
  <w:style w:type="paragraph" w:styleId="Revision">
    <w:name w:val="Revision"/>
    <w:hidden/>
    <w:uiPriority w:val="99"/>
    <w:semiHidden/>
    <w:rsid w:val="00070FB1"/>
  </w:style>
  <w:style w:type="paragraph" w:styleId="Header">
    <w:name w:val="header"/>
    <w:basedOn w:val="Normal"/>
    <w:link w:val="HeaderChar"/>
    <w:uiPriority w:val="99"/>
    <w:unhideWhenUsed/>
    <w:rsid w:val="00D3462C"/>
    <w:pPr>
      <w:tabs>
        <w:tab w:val="center" w:pos="4680"/>
        <w:tab w:val="right" w:pos="9360"/>
      </w:tabs>
    </w:pPr>
  </w:style>
  <w:style w:type="character" w:customStyle="1" w:styleId="HeaderChar">
    <w:name w:val="Header Char"/>
    <w:basedOn w:val="DefaultParagraphFont"/>
    <w:link w:val="Header"/>
    <w:uiPriority w:val="99"/>
    <w:rsid w:val="00D3462C"/>
  </w:style>
  <w:style w:type="paragraph" w:styleId="Footer">
    <w:name w:val="footer"/>
    <w:basedOn w:val="Normal"/>
    <w:link w:val="FooterChar"/>
    <w:uiPriority w:val="99"/>
    <w:unhideWhenUsed/>
    <w:rsid w:val="00D3462C"/>
    <w:pPr>
      <w:tabs>
        <w:tab w:val="center" w:pos="4680"/>
        <w:tab w:val="right" w:pos="9360"/>
      </w:tabs>
    </w:pPr>
  </w:style>
  <w:style w:type="character" w:customStyle="1" w:styleId="FooterChar">
    <w:name w:val="Footer Char"/>
    <w:basedOn w:val="DefaultParagraphFont"/>
    <w:link w:val="Footer"/>
    <w:uiPriority w:val="99"/>
    <w:rsid w:val="00D346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aP9/OhSSFgfy9ysOHqeb58xxSw==">AMUW2mUfJFVKPzWG8uy5RUfV5RjN0y0ARUOtX74yO6H2iGnoSXikm+z5fpjViU7rYOP3etmU1PXbuWSc65Dpkyt4S8j73cW8IZQuGR/m8sKqw+kdLMCKLNI=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Vikram (CDC/ONDIEH/NCCDPHP) (CTR)</dc:creator>
  <cp:lastModifiedBy>Liz Ruth</cp:lastModifiedBy>
  <cp:revision>4</cp:revision>
  <dcterms:created xsi:type="dcterms:W3CDTF">2023-04-24T16:41:00Z</dcterms:created>
  <dcterms:modified xsi:type="dcterms:W3CDTF">2023-04-24T17:31:00Z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0x010100129D6702C207074F86B02A3D95A0BB51</vt:lpwstr>
  </property>
  <property fmtid="{D5CDD505-2E9C-101B-9397-08002B2CF9AE}" pid="3" name="_dlc_DocIdItemGuid">
    <vt:lpwstr>dc339561-eb30-4612-87d6-b1d1e34a52ca</vt:lpwstr>
  </property>
</Properties>
</file>