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83A4" w14:textId="0D9B2E04" w:rsidR="006F032E" w:rsidRDefault="006F032E" w:rsidP="00BA096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25D106F" wp14:editId="1CD89380">
            <wp:extent cx="2907783" cy="1247775"/>
            <wp:effectExtent l="0" t="0" r="6985" b="0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960" cy="125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710DD" w14:textId="7D679E3F" w:rsidR="00BA096C" w:rsidRDefault="003F2E39" w:rsidP="00FB0D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HEALTH EQUITY</w:t>
      </w:r>
      <w:r w:rsidR="006F032E">
        <w:rPr>
          <w:b/>
          <w:bCs/>
          <w:sz w:val="28"/>
          <w:szCs w:val="28"/>
          <w:u w:val="single"/>
        </w:rPr>
        <w:t xml:space="preserve"> RESOURCES </w:t>
      </w:r>
      <w:r>
        <w:rPr>
          <w:b/>
          <w:bCs/>
          <w:sz w:val="28"/>
          <w:szCs w:val="28"/>
          <w:u w:val="single"/>
        </w:rPr>
        <w:t>AND PUBLICATIONS</w:t>
      </w:r>
    </w:p>
    <w:p w14:paraId="4BA769AE" w14:textId="15FCBDAC" w:rsidR="006F032E" w:rsidRDefault="006F032E" w:rsidP="00FB0DF0">
      <w:pPr>
        <w:spacing w:after="0" w:line="240" w:lineRule="auto"/>
        <w:jc w:val="center"/>
        <w:rPr>
          <w:sz w:val="28"/>
          <w:szCs w:val="28"/>
        </w:rPr>
      </w:pPr>
      <w:r w:rsidRPr="006F032E">
        <w:rPr>
          <w:sz w:val="28"/>
          <w:szCs w:val="28"/>
        </w:rPr>
        <w:t xml:space="preserve">(updated </w:t>
      </w:r>
      <w:r w:rsidR="00BD39FE">
        <w:rPr>
          <w:sz w:val="28"/>
          <w:szCs w:val="28"/>
        </w:rPr>
        <w:t>6</w:t>
      </w:r>
      <w:r w:rsidR="009E2CBC">
        <w:rPr>
          <w:sz w:val="28"/>
          <w:szCs w:val="28"/>
        </w:rPr>
        <w:t>/</w:t>
      </w:r>
      <w:r w:rsidR="00BD39FE">
        <w:rPr>
          <w:sz w:val="28"/>
          <w:szCs w:val="28"/>
        </w:rPr>
        <w:t>21</w:t>
      </w:r>
      <w:r w:rsidRPr="006F032E">
        <w:rPr>
          <w:sz w:val="28"/>
          <w:szCs w:val="28"/>
        </w:rPr>
        <w:t>/20</w:t>
      </w:r>
      <w:r w:rsidR="003F2E39">
        <w:rPr>
          <w:sz w:val="28"/>
          <w:szCs w:val="28"/>
        </w:rPr>
        <w:t>2</w:t>
      </w:r>
      <w:r w:rsidRPr="006F032E">
        <w:rPr>
          <w:sz w:val="28"/>
          <w:szCs w:val="28"/>
        </w:rPr>
        <w:t>1)</w:t>
      </w:r>
    </w:p>
    <w:p w14:paraId="18636049" w14:textId="6527CCAB" w:rsidR="003F2E39" w:rsidRDefault="003F2E39" w:rsidP="00FB0DF0">
      <w:pPr>
        <w:spacing w:after="0" w:line="240" w:lineRule="auto"/>
        <w:jc w:val="center"/>
        <w:rPr>
          <w:sz w:val="28"/>
          <w:szCs w:val="28"/>
        </w:rPr>
      </w:pPr>
    </w:p>
    <w:p w14:paraId="7AA81F37" w14:textId="4C00B66A" w:rsidR="009E2CBC" w:rsidRPr="00BD39FE" w:rsidRDefault="009E2CBC" w:rsidP="00BD39FE">
      <w:pPr>
        <w:spacing w:after="12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BD39FE">
        <w:rPr>
          <w:rFonts w:cstheme="minorHAnsi"/>
          <w:b/>
          <w:bCs/>
          <w:sz w:val="28"/>
          <w:szCs w:val="28"/>
          <w:u w:val="single"/>
        </w:rPr>
        <w:t>Recently Added</w:t>
      </w:r>
    </w:p>
    <w:p w14:paraId="088D6D6B" w14:textId="57DA4E79" w:rsidR="00BD39FE" w:rsidRDefault="00BD39FE" w:rsidP="00BD39FE">
      <w:pPr>
        <w:spacing w:after="0" w:line="240" w:lineRule="auto"/>
        <w:rPr>
          <w:rFonts w:eastAsia="Times New Roman" w:cstheme="minorHAnsi"/>
        </w:rPr>
      </w:pPr>
      <w:r w:rsidRPr="009503CB">
        <w:rPr>
          <w:rFonts w:eastAsia="Times New Roman" w:cstheme="minorHAnsi"/>
          <w:b/>
          <w:bCs/>
        </w:rPr>
        <w:t xml:space="preserve">New Diversity and Equity Resources from the National Aging and Disability Transportation Center. </w:t>
      </w:r>
      <w:r w:rsidRPr="009503CB">
        <w:rPr>
          <w:rFonts w:eastAsia="Times New Roman" w:cstheme="minorHAnsi"/>
        </w:rPr>
        <w:t xml:space="preserve">The National Aging and Disability Transportation Center has compiled a </w:t>
      </w:r>
      <w:hyperlink r:id="rId6" w:history="1">
        <w:r w:rsidRPr="009503CB">
          <w:rPr>
            <w:rStyle w:val="Hyperlink"/>
            <w:rFonts w:eastAsia="Times New Roman" w:cstheme="minorHAnsi"/>
          </w:rPr>
          <w:t>resource hub </w:t>
        </w:r>
      </w:hyperlink>
      <w:r w:rsidRPr="009503CB">
        <w:rPr>
          <w:rFonts w:eastAsia="Times New Roman" w:cstheme="minorHAnsi"/>
        </w:rPr>
        <w:t>with collection of articles, reports, webinars and more. </w:t>
      </w:r>
    </w:p>
    <w:p w14:paraId="365946CE" w14:textId="77777777" w:rsidR="00BD39FE" w:rsidRPr="009503CB" w:rsidRDefault="00BD39FE" w:rsidP="00BD39FE">
      <w:pPr>
        <w:spacing w:after="0" w:line="240" w:lineRule="auto"/>
        <w:rPr>
          <w:rFonts w:eastAsia="Times New Roman" w:cstheme="minorHAnsi"/>
        </w:rPr>
      </w:pPr>
    </w:p>
    <w:p w14:paraId="1EF68A29" w14:textId="0DB36D33" w:rsidR="0082007A" w:rsidRPr="003E30F0" w:rsidRDefault="00195BB7" w:rsidP="00BD39FE">
      <w:pPr>
        <w:spacing w:after="12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3E30F0">
        <w:rPr>
          <w:rFonts w:cstheme="minorHAnsi"/>
          <w:b/>
          <w:bCs/>
          <w:sz w:val="28"/>
          <w:szCs w:val="28"/>
          <w:u w:val="single"/>
        </w:rPr>
        <w:t>G</w:t>
      </w:r>
      <w:r w:rsidR="00FF3C45" w:rsidRPr="003E30F0">
        <w:rPr>
          <w:rFonts w:cstheme="minorHAnsi"/>
          <w:b/>
          <w:bCs/>
          <w:sz w:val="28"/>
          <w:szCs w:val="28"/>
          <w:u w:val="single"/>
        </w:rPr>
        <w:t>eneral</w:t>
      </w:r>
      <w:r w:rsidRPr="003E30F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91212B" w:rsidRPr="003E30F0">
        <w:rPr>
          <w:rFonts w:cstheme="minorHAnsi"/>
          <w:b/>
          <w:bCs/>
          <w:sz w:val="28"/>
          <w:szCs w:val="28"/>
          <w:u w:val="single"/>
        </w:rPr>
        <w:t xml:space="preserve">Public </w:t>
      </w:r>
      <w:r w:rsidRPr="003E30F0">
        <w:rPr>
          <w:rFonts w:cstheme="minorHAnsi"/>
          <w:b/>
          <w:bCs/>
          <w:sz w:val="28"/>
          <w:szCs w:val="28"/>
          <w:u w:val="single"/>
        </w:rPr>
        <w:t>Health and Racial Equity</w:t>
      </w:r>
    </w:p>
    <w:p w14:paraId="68B43FAC" w14:textId="6CC915F0" w:rsidR="0082007A" w:rsidRPr="00BD39FE" w:rsidRDefault="0082007A" w:rsidP="0082007A">
      <w:pPr>
        <w:spacing w:after="0" w:line="240" w:lineRule="auto"/>
        <w:rPr>
          <w:rFonts w:cstheme="minorHAnsi"/>
        </w:rPr>
      </w:pPr>
      <w:r w:rsidRPr="00BD39FE">
        <w:rPr>
          <w:rFonts w:cstheme="minorHAnsi"/>
          <w:b/>
          <w:bCs/>
        </w:rPr>
        <w:t>Government Alliance on Race and Equity</w:t>
      </w:r>
      <w:r w:rsidR="00195BB7" w:rsidRPr="00BD39FE">
        <w:rPr>
          <w:rFonts w:cstheme="minorHAnsi"/>
          <w:b/>
          <w:bCs/>
        </w:rPr>
        <w:t xml:space="preserve"> (</w:t>
      </w:r>
      <w:r w:rsidRPr="00BD39FE">
        <w:rPr>
          <w:rFonts w:cstheme="minorHAnsi"/>
          <w:b/>
          <w:bCs/>
        </w:rPr>
        <w:t>GARE</w:t>
      </w:r>
      <w:r w:rsidR="00195BB7" w:rsidRPr="00BD39FE">
        <w:rPr>
          <w:rFonts w:cstheme="minorHAnsi"/>
          <w:b/>
          <w:bCs/>
        </w:rPr>
        <w:t>)</w:t>
      </w:r>
      <w:r w:rsidRPr="00BD39FE">
        <w:rPr>
          <w:rFonts w:cstheme="minorHAnsi"/>
        </w:rPr>
        <w:t xml:space="preserve"> has developed a number of resources to help </w:t>
      </w:r>
      <w:r w:rsidR="00FF3C45" w:rsidRPr="00BD39FE">
        <w:rPr>
          <w:rFonts w:cstheme="minorHAnsi"/>
        </w:rPr>
        <w:t xml:space="preserve">local governments </w:t>
      </w:r>
      <w:r w:rsidR="00195BB7" w:rsidRPr="00BD39FE">
        <w:rPr>
          <w:rFonts w:cstheme="minorHAnsi"/>
        </w:rPr>
        <w:t>center health and racial equity</w:t>
      </w:r>
      <w:r w:rsidR="00B47A07" w:rsidRPr="00BD39FE">
        <w:rPr>
          <w:rFonts w:cstheme="minorHAnsi"/>
        </w:rPr>
        <w:t>, and potential relationship/partnership.</w:t>
      </w:r>
    </w:p>
    <w:p w14:paraId="052F91C9" w14:textId="0CF86F2A" w:rsidR="00B47A07" w:rsidRPr="00BD39FE" w:rsidRDefault="00B47A07" w:rsidP="0082007A">
      <w:pPr>
        <w:spacing w:after="0" w:line="240" w:lineRule="auto"/>
        <w:rPr>
          <w:rFonts w:cstheme="minorHAnsi"/>
        </w:rPr>
      </w:pPr>
    </w:p>
    <w:p w14:paraId="777C37D2" w14:textId="2D860192" w:rsidR="00B47A07" w:rsidRPr="00BD39FE" w:rsidRDefault="00B47A07" w:rsidP="00BD39FE">
      <w:pPr>
        <w:pStyle w:val="ListParagraph"/>
        <w:numPr>
          <w:ilvl w:val="1"/>
          <w:numId w:val="4"/>
        </w:numPr>
        <w:ind w:left="720"/>
        <w:rPr>
          <w:rFonts w:cstheme="minorHAnsi"/>
        </w:rPr>
      </w:pPr>
      <w:r w:rsidRPr="00BD39FE">
        <w:rPr>
          <w:rFonts w:cstheme="minorHAnsi"/>
        </w:rPr>
        <w:t>GARE works with local and regional jurisdictions across the country.  Look for members in your state.</w:t>
      </w:r>
      <w:r w:rsidR="00BD39FE">
        <w:rPr>
          <w:rFonts w:cstheme="minorHAnsi"/>
        </w:rPr>
        <w:t xml:space="preserve"> </w:t>
      </w:r>
      <w:hyperlink r:id="rId7" w:history="1">
        <w:r w:rsidR="00BD39FE" w:rsidRPr="0055535B">
          <w:rPr>
            <w:rStyle w:val="Hyperlink"/>
            <w:rFonts w:cstheme="minorHAnsi"/>
            <w:sz w:val="22"/>
            <w:szCs w:val="22"/>
          </w:rPr>
          <w:t>https://www.racialequityalliance.org/where-we-work/jurisdictions/</w:t>
        </w:r>
      </w:hyperlink>
    </w:p>
    <w:p w14:paraId="64B90FA0" w14:textId="77777777" w:rsidR="00754296" w:rsidRPr="00BD39FE" w:rsidRDefault="00754296" w:rsidP="00BD39FE">
      <w:pPr>
        <w:spacing w:after="0" w:line="240" w:lineRule="auto"/>
        <w:ind w:left="720" w:hanging="360"/>
        <w:rPr>
          <w:rFonts w:cstheme="minorHAnsi"/>
        </w:rPr>
      </w:pPr>
    </w:p>
    <w:p w14:paraId="7F54EBF7" w14:textId="09FC69BF" w:rsidR="0082007A" w:rsidRPr="00BD39FE" w:rsidRDefault="00195BB7" w:rsidP="00BD39FE">
      <w:pPr>
        <w:pStyle w:val="ListParagraph"/>
        <w:numPr>
          <w:ilvl w:val="1"/>
          <w:numId w:val="4"/>
        </w:numPr>
        <w:ind w:left="720"/>
        <w:rPr>
          <w:rFonts w:cstheme="minorHAnsi"/>
        </w:rPr>
      </w:pPr>
      <w:r w:rsidRPr="00BD39FE">
        <w:rPr>
          <w:rFonts w:cstheme="minorHAnsi"/>
        </w:rPr>
        <w:t>Racial Equity – Getting to Results</w:t>
      </w:r>
      <w:r w:rsidR="00BD39FE">
        <w:rPr>
          <w:rFonts w:cstheme="minorHAnsi"/>
        </w:rPr>
        <w:t xml:space="preserve">. </w:t>
      </w:r>
      <w:hyperlink r:id="rId8" w:history="1">
        <w:r w:rsidR="00BD39FE" w:rsidRPr="0055535B">
          <w:rPr>
            <w:rStyle w:val="Hyperlink"/>
            <w:rFonts w:cstheme="minorHAnsi"/>
            <w:sz w:val="22"/>
            <w:szCs w:val="22"/>
          </w:rPr>
          <w:t>https://www.racialequityalliance.org/resources/racial-equity-getting-results/</w:t>
        </w:r>
      </w:hyperlink>
    </w:p>
    <w:p w14:paraId="7F8DD5ED" w14:textId="77777777" w:rsidR="0082007A" w:rsidRPr="00BD39FE" w:rsidRDefault="0082007A" w:rsidP="00BD39FE">
      <w:pPr>
        <w:spacing w:after="0" w:line="240" w:lineRule="auto"/>
        <w:ind w:left="720" w:hanging="360"/>
        <w:rPr>
          <w:rFonts w:cstheme="minorHAnsi"/>
        </w:rPr>
      </w:pPr>
    </w:p>
    <w:p w14:paraId="10E46A2C" w14:textId="6A87CB02" w:rsidR="00195BB7" w:rsidRPr="00BD39FE" w:rsidRDefault="00195BB7" w:rsidP="00BD39FE">
      <w:pPr>
        <w:pStyle w:val="ListParagraph"/>
        <w:numPr>
          <w:ilvl w:val="1"/>
          <w:numId w:val="4"/>
        </w:numPr>
        <w:ind w:left="720"/>
        <w:rPr>
          <w:rFonts w:cstheme="minorHAnsi"/>
        </w:rPr>
      </w:pPr>
      <w:r w:rsidRPr="00BD39FE">
        <w:rPr>
          <w:rFonts w:cstheme="minorHAnsi"/>
        </w:rPr>
        <w:t>Racial Equity Toolkit: An Opportunity to Operationalize Equity</w:t>
      </w:r>
      <w:r w:rsidR="00BD39FE">
        <w:rPr>
          <w:rFonts w:cstheme="minorHAnsi"/>
        </w:rPr>
        <w:t xml:space="preserve">. </w:t>
      </w:r>
      <w:hyperlink r:id="rId9" w:history="1">
        <w:r w:rsidR="00BD39FE" w:rsidRPr="0055535B">
          <w:rPr>
            <w:rStyle w:val="Hyperlink"/>
            <w:rFonts w:cstheme="minorHAnsi"/>
            <w:sz w:val="22"/>
            <w:szCs w:val="22"/>
          </w:rPr>
          <w:t>https://racialequityalliance.org/wp-content/uploads/2015/10/GARE-Racial_Equity_Toolkit.pdf</w:t>
        </w:r>
      </w:hyperlink>
    </w:p>
    <w:p w14:paraId="212AB8EB" w14:textId="77777777" w:rsidR="00195BB7" w:rsidRPr="00BD39FE" w:rsidRDefault="00195BB7" w:rsidP="00BD39FE">
      <w:pPr>
        <w:spacing w:after="0" w:line="240" w:lineRule="auto"/>
        <w:ind w:left="720" w:hanging="360"/>
        <w:rPr>
          <w:rFonts w:cstheme="minorHAnsi"/>
        </w:rPr>
      </w:pPr>
    </w:p>
    <w:p w14:paraId="7D23C7C3" w14:textId="4796613C" w:rsidR="0082007A" w:rsidRPr="00BD39FE" w:rsidRDefault="0082007A" w:rsidP="00BD39FE">
      <w:pPr>
        <w:pStyle w:val="ListParagraph"/>
        <w:numPr>
          <w:ilvl w:val="1"/>
          <w:numId w:val="4"/>
        </w:numPr>
        <w:ind w:left="720"/>
        <w:rPr>
          <w:rFonts w:cstheme="minorHAnsi"/>
        </w:rPr>
      </w:pPr>
      <w:r w:rsidRPr="00BD39FE">
        <w:rPr>
          <w:rFonts w:cstheme="minorHAnsi"/>
        </w:rPr>
        <w:t>Racial Equity Action Plans: A How-to Manual</w:t>
      </w:r>
      <w:r w:rsidR="00195BB7" w:rsidRPr="00BD39FE">
        <w:rPr>
          <w:rFonts w:cstheme="minorHAnsi"/>
        </w:rPr>
        <w:t xml:space="preserve"> – toolkit for local governments to develop their own Racial Equity Action Plan</w:t>
      </w:r>
      <w:r w:rsidR="00B47A07" w:rsidRPr="00BD39FE">
        <w:rPr>
          <w:rFonts w:cstheme="minorHAnsi"/>
        </w:rPr>
        <w:t xml:space="preserve"> as both a process and outcome.</w:t>
      </w:r>
      <w:r w:rsidR="00B47A07" w:rsidRPr="00BD39FE">
        <w:rPr>
          <w:rFonts w:cstheme="minorHAnsi"/>
        </w:rPr>
        <w:br/>
      </w:r>
      <w:hyperlink r:id="rId10" w:history="1">
        <w:r w:rsidR="00B47A07" w:rsidRPr="00BD39FE">
          <w:rPr>
            <w:rStyle w:val="Hyperlink"/>
            <w:rFonts w:cstheme="minorHAnsi"/>
            <w:sz w:val="22"/>
            <w:szCs w:val="22"/>
          </w:rPr>
          <w:t>https://www.racialequityalliance.org/wp-content/uploads/2016/11/GARE-Racial-Equity-Action-Plans.pdf</w:t>
        </w:r>
      </w:hyperlink>
    </w:p>
    <w:p w14:paraId="25FBF3C8" w14:textId="2976EE73" w:rsidR="00B47A07" w:rsidRPr="00BD39FE" w:rsidRDefault="00B47A07" w:rsidP="00BD39FE">
      <w:pPr>
        <w:spacing w:after="0" w:line="240" w:lineRule="auto"/>
        <w:ind w:left="720" w:hanging="360"/>
        <w:rPr>
          <w:rFonts w:cstheme="minorHAnsi"/>
        </w:rPr>
      </w:pPr>
    </w:p>
    <w:p w14:paraId="47A433BB" w14:textId="2A1ABB92" w:rsidR="0071294E" w:rsidRPr="00BD39FE" w:rsidRDefault="0071294E" w:rsidP="0071294E">
      <w:pPr>
        <w:spacing w:after="0" w:line="240" w:lineRule="auto"/>
      </w:pPr>
      <w:r w:rsidRPr="00BD39FE">
        <w:rPr>
          <w:b/>
          <w:bCs/>
        </w:rPr>
        <w:t>Equitable Processes Lead to More Equitable Outcomes</w:t>
      </w:r>
      <w:r w:rsidR="00BD39FE">
        <w:rPr>
          <w:b/>
          <w:bCs/>
        </w:rPr>
        <w:t xml:space="preserve">. </w:t>
      </w:r>
      <w:r w:rsidRPr="00BD39FE">
        <w:t xml:space="preserve">Blog from Phil </w:t>
      </w:r>
      <w:proofErr w:type="spellStart"/>
      <w:r w:rsidRPr="00BD39FE">
        <w:t>Bors</w:t>
      </w:r>
      <w:proofErr w:type="spellEnd"/>
      <w:r w:rsidRPr="00BD39FE">
        <w:t xml:space="preserve"> with Health Placed by Design emphasizing equitable process must address who is included and how they are engaged and for what purpose.  Phil provides links to “Equity Advancing Resources”. </w:t>
      </w:r>
      <w:r w:rsidRPr="00BD39FE">
        <w:rPr>
          <w:i/>
          <w:iCs/>
        </w:rPr>
        <w:t xml:space="preserve"> </w:t>
      </w:r>
      <w:r w:rsidR="000A4A7F" w:rsidRPr="00BD39FE">
        <w:rPr>
          <w:i/>
          <w:iCs/>
        </w:rPr>
        <w:t xml:space="preserve">Note: </w:t>
      </w:r>
      <w:r w:rsidRPr="00BD39FE">
        <w:rPr>
          <w:i/>
          <w:iCs/>
        </w:rPr>
        <w:t xml:space="preserve">All of the </w:t>
      </w:r>
      <w:r w:rsidR="000A4A7F" w:rsidRPr="00BD39FE">
        <w:rPr>
          <w:i/>
          <w:iCs/>
        </w:rPr>
        <w:t>Resources</w:t>
      </w:r>
      <w:r w:rsidRPr="00BD39FE">
        <w:rPr>
          <w:i/>
          <w:iCs/>
        </w:rPr>
        <w:t xml:space="preserve"> mentioned </w:t>
      </w:r>
      <w:r w:rsidR="000A4A7F" w:rsidRPr="00BD39FE">
        <w:rPr>
          <w:i/>
          <w:iCs/>
        </w:rPr>
        <w:t xml:space="preserve">in the blog article </w:t>
      </w:r>
      <w:r w:rsidRPr="00BD39FE">
        <w:rPr>
          <w:i/>
          <w:iCs/>
        </w:rPr>
        <w:t>are on BRIC States webpage Resources Section.</w:t>
      </w:r>
      <w:r w:rsidRPr="00BD39FE">
        <w:t xml:space="preserve"> </w:t>
      </w:r>
      <w:hyperlink r:id="rId11" w:history="1">
        <w:r w:rsidRPr="00BD39FE">
          <w:rPr>
            <w:rStyle w:val="Hyperlink"/>
          </w:rPr>
          <w:t>https://healthyplacesbydesign.org/equitable-processes-lead-to-more-equitable-outcomes/</w:t>
        </w:r>
      </w:hyperlink>
    </w:p>
    <w:p w14:paraId="52A679EF" w14:textId="3B5EF460" w:rsidR="0071294E" w:rsidRPr="00BD39FE" w:rsidRDefault="0071294E" w:rsidP="0082007A">
      <w:pPr>
        <w:spacing w:after="0" w:line="240" w:lineRule="auto"/>
        <w:rPr>
          <w:rFonts w:cstheme="minorHAnsi"/>
        </w:rPr>
      </w:pPr>
    </w:p>
    <w:p w14:paraId="759FD541" w14:textId="72786102" w:rsidR="00BD39FE" w:rsidRPr="00BD39FE" w:rsidRDefault="00BD39FE" w:rsidP="00BD39FE">
      <w:pPr>
        <w:spacing w:after="0" w:line="240" w:lineRule="auto"/>
      </w:pPr>
      <w:r w:rsidRPr="00BD39FE">
        <w:rPr>
          <w:rFonts w:cstheme="minorHAnsi"/>
          <w:b/>
          <w:bCs/>
        </w:rPr>
        <w:t>National Association of Chronic Disease Directors – Race Toward Health</w:t>
      </w:r>
      <w:r>
        <w:rPr>
          <w:rFonts w:cstheme="minorHAnsi"/>
          <w:b/>
          <w:bCs/>
        </w:rPr>
        <w:t xml:space="preserve">. </w:t>
      </w:r>
      <w:hyperlink r:id="rId12" w:history="1">
        <w:r w:rsidRPr="00BD39FE">
          <w:rPr>
            <w:rStyle w:val="Hyperlink"/>
          </w:rPr>
          <w:t>NACDD’s Health Equity Council</w:t>
        </w:r>
      </w:hyperlink>
      <w:r w:rsidRPr="00BD39FE">
        <w:t xml:space="preserve"> launch 'Race Toward Health' Podcast Launch, Webinars, and Peer to Peer Activities to Support National Minority Health Month</w:t>
      </w:r>
      <w:r>
        <w:t xml:space="preserve">. </w:t>
      </w:r>
      <w:hyperlink r:id="rId13" w:history="1">
        <w:r w:rsidRPr="00BD39FE">
          <w:rPr>
            <w:rStyle w:val="Hyperlink"/>
          </w:rPr>
          <w:t>https://chronicdisease.org/tag/race-toward-health/</w:t>
        </w:r>
      </w:hyperlink>
    </w:p>
    <w:p w14:paraId="08515712" w14:textId="77777777" w:rsidR="00BD39FE" w:rsidRDefault="00BD39FE" w:rsidP="00BD39FE">
      <w:pPr>
        <w:spacing w:after="0" w:line="240" w:lineRule="auto"/>
        <w:rPr>
          <w:rFonts w:cstheme="minorHAnsi"/>
          <w:b/>
          <w:bCs/>
          <w:u w:val="single"/>
        </w:rPr>
      </w:pPr>
    </w:p>
    <w:p w14:paraId="163C60B2" w14:textId="55CCC28F" w:rsidR="00BD39FE" w:rsidRPr="00BD39FE" w:rsidRDefault="00BD39FE" w:rsidP="00BD39FE">
      <w:pPr>
        <w:spacing w:after="0" w:line="240" w:lineRule="auto"/>
      </w:pPr>
      <w:r w:rsidRPr="00BD39FE">
        <w:rPr>
          <w:rFonts w:cstheme="minorHAnsi"/>
          <w:b/>
          <w:bCs/>
        </w:rPr>
        <w:t>Color of Law</w:t>
      </w:r>
      <w:r>
        <w:rPr>
          <w:rFonts w:cstheme="minorHAnsi"/>
          <w:b/>
          <w:bCs/>
        </w:rPr>
        <w:t xml:space="preserve">. </w:t>
      </w:r>
      <w:r w:rsidRPr="00BD39FE">
        <w:t xml:space="preserve">NACDD Presents: </w:t>
      </w:r>
      <w:r w:rsidRPr="00BD39FE">
        <w:rPr>
          <w:b/>
          <w:bCs/>
          <w:i/>
          <w:iCs/>
        </w:rPr>
        <w:t>The Color of Law</w:t>
      </w:r>
      <w:r w:rsidRPr="00BD39FE">
        <w:rPr>
          <w:b/>
          <w:bCs/>
        </w:rPr>
        <w:t xml:space="preserve"> </w:t>
      </w:r>
      <w:r w:rsidRPr="00BD39FE">
        <w:t xml:space="preserve">presentation and panel discussion with Author Richard Rothstein, Dr. Susan </w:t>
      </w:r>
      <w:proofErr w:type="spellStart"/>
      <w:r w:rsidRPr="00BD39FE">
        <w:t>Kansagra</w:t>
      </w:r>
      <w:proofErr w:type="spellEnd"/>
      <w:r w:rsidRPr="00BD39FE">
        <w:t xml:space="preserve">, Robyn </w:t>
      </w:r>
      <w:proofErr w:type="gramStart"/>
      <w:r w:rsidRPr="00BD39FE">
        <w:t>Taylor</w:t>
      </w:r>
      <w:proofErr w:type="gramEnd"/>
      <w:r w:rsidRPr="00BD39FE">
        <w:t xml:space="preserve"> and Chip Allen.  </w:t>
      </w:r>
      <w:hyperlink r:id="rId14" w:history="1">
        <w:r w:rsidRPr="00BD39FE">
          <w:rPr>
            <w:rStyle w:val="Hyperlink"/>
            <w:b/>
            <w:bCs/>
          </w:rPr>
          <w:t>RECORDING</w:t>
        </w:r>
      </w:hyperlink>
    </w:p>
    <w:p w14:paraId="25564B4E" w14:textId="1B187A04" w:rsidR="00BD39FE" w:rsidRPr="00BD39FE" w:rsidRDefault="00BD39FE" w:rsidP="00BD39FE">
      <w:pPr>
        <w:spacing w:after="120" w:line="252" w:lineRule="auto"/>
      </w:pPr>
      <w:r w:rsidRPr="00BD39FE">
        <w:t xml:space="preserve">A great precursor to reading The Color of Law and watching the webinar recording is a short video </w:t>
      </w:r>
      <w:hyperlink r:id="rId15" w:history="1">
        <w:r w:rsidRPr="00BD39FE">
          <w:rPr>
            <w:rStyle w:val="Hyperlink"/>
            <w:b/>
            <w:bCs/>
            <w:i/>
            <w:iCs/>
          </w:rPr>
          <w:t>‘Segregated By Design’</w:t>
        </w:r>
      </w:hyperlink>
      <w:r w:rsidRPr="00BD39FE">
        <w:t xml:space="preserve"> which examines the forgotten history of how our federal, </w:t>
      </w:r>
      <w:proofErr w:type="gramStart"/>
      <w:r w:rsidRPr="00BD39FE">
        <w:t>state</w:t>
      </w:r>
      <w:proofErr w:type="gramEnd"/>
      <w:r w:rsidRPr="00BD39FE">
        <w:t xml:space="preserve"> and local governments unconstitutionally segregated every major metropolitan area in America through law and policy.  </w:t>
      </w:r>
    </w:p>
    <w:p w14:paraId="7A93C37A" w14:textId="77777777" w:rsidR="00BD39FE" w:rsidRPr="00BD39FE" w:rsidRDefault="00BD39FE" w:rsidP="00BD39FE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C0F4AAA" w14:textId="4DCDD10F" w:rsidR="00BD39FE" w:rsidRPr="00BD39FE" w:rsidRDefault="00BD39FE" w:rsidP="00BD39FE">
      <w:pPr>
        <w:spacing w:after="0" w:line="240" w:lineRule="auto"/>
      </w:pPr>
      <w:r w:rsidRPr="00BD39FE">
        <w:rPr>
          <w:rFonts w:cstheme="minorHAnsi"/>
          <w:b/>
          <w:bCs/>
        </w:rPr>
        <w:t>CDC’s Office of Minority Health, Health Equity Portal – Dedicated to racism and health</w:t>
      </w:r>
      <w:r>
        <w:rPr>
          <w:rFonts w:cstheme="minorHAnsi"/>
          <w:b/>
          <w:bCs/>
        </w:rPr>
        <w:t xml:space="preserve">. </w:t>
      </w:r>
      <w:hyperlink r:id="rId16" w:history="1">
        <w:r w:rsidRPr="00BD39FE">
          <w:rPr>
            <w:rStyle w:val="Hyperlink"/>
          </w:rPr>
          <w:t>https://www.cdc.gov/healthequity/racism-disparities/index.html</w:t>
        </w:r>
      </w:hyperlink>
      <w:r w:rsidRPr="00BD39FE">
        <w:br/>
      </w:r>
      <w:r w:rsidRPr="00BD39FE">
        <w:rPr>
          <w:b/>
          <w:bCs/>
        </w:rPr>
        <w:lastRenderedPageBreak/>
        <w:t>CDC Health Equity Resources including COVID-19 health equity resources</w:t>
      </w:r>
      <w:r>
        <w:rPr>
          <w:b/>
          <w:bCs/>
        </w:rPr>
        <w:t xml:space="preserve">. </w:t>
      </w:r>
      <w:hyperlink r:id="rId17" w:history="1">
        <w:r w:rsidRPr="0055535B">
          <w:rPr>
            <w:rStyle w:val="Hyperlink"/>
          </w:rPr>
          <w:t>https://www.cdc.gov/healthequity/index.html</w:t>
        </w:r>
      </w:hyperlink>
    </w:p>
    <w:p w14:paraId="3FEAADAE" w14:textId="77777777" w:rsidR="003E30F0" w:rsidRPr="00BD39FE" w:rsidRDefault="003E30F0" w:rsidP="00BD39FE">
      <w:pPr>
        <w:spacing w:after="120" w:line="240" w:lineRule="auto"/>
        <w:rPr>
          <w:rFonts w:cstheme="minorHAnsi"/>
          <w:b/>
          <w:bCs/>
          <w:u w:val="single"/>
        </w:rPr>
      </w:pPr>
    </w:p>
    <w:p w14:paraId="160CAD15" w14:textId="5B3CA09E" w:rsidR="0091212B" w:rsidRPr="003E30F0" w:rsidRDefault="0091212B" w:rsidP="00BD39FE">
      <w:pPr>
        <w:spacing w:after="12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3E30F0">
        <w:rPr>
          <w:rFonts w:cstheme="minorHAnsi"/>
          <w:b/>
          <w:bCs/>
          <w:sz w:val="28"/>
          <w:szCs w:val="28"/>
          <w:u w:val="single"/>
        </w:rPr>
        <w:t>Data and Health Equity</w:t>
      </w:r>
    </w:p>
    <w:p w14:paraId="771089ED" w14:textId="52C40606" w:rsidR="0091212B" w:rsidRPr="00BD39FE" w:rsidRDefault="00BD39FE" w:rsidP="0082007A">
      <w:pPr>
        <w:spacing w:after="0" w:line="240" w:lineRule="auto"/>
        <w:rPr>
          <w:rFonts w:cstheme="minorHAnsi"/>
        </w:rPr>
      </w:pPr>
      <w:hyperlink r:id="rId18" w:history="1">
        <w:r w:rsidR="0091212B" w:rsidRPr="00BD39FE">
          <w:rPr>
            <w:rStyle w:val="Hyperlink"/>
            <w:rFonts w:cstheme="minorHAnsi"/>
            <w:b/>
            <w:bCs/>
          </w:rPr>
          <w:t>County Health Rankings</w:t>
        </w:r>
      </w:hyperlink>
      <w:r w:rsidR="0091212B" w:rsidRPr="00BD39FE">
        <w:rPr>
          <w:rFonts w:cstheme="minorHAnsi"/>
          <w:b/>
          <w:bCs/>
        </w:rPr>
        <w:t xml:space="preserve"> </w:t>
      </w:r>
      <w:r w:rsidR="0091212B" w:rsidRPr="00BD39FE">
        <w:rPr>
          <w:rFonts w:cstheme="minorHAnsi"/>
        </w:rPr>
        <w:t>– search county level data related to the health of communities. State reports available</w:t>
      </w:r>
      <w:r>
        <w:rPr>
          <w:rFonts w:cstheme="minorHAnsi"/>
        </w:rPr>
        <w:t xml:space="preserve">. </w:t>
      </w:r>
    </w:p>
    <w:p w14:paraId="71F4A056" w14:textId="77777777" w:rsidR="0091212B" w:rsidRPr="00BD39FE" w:rsidRDefault="0091212B" w:rsidP="0082007A">
      <w:pPr>
        <w:spacing w:after="0" w:line="240" w:lineRule="auto"/>
        <w:rPr>
          <w:rFonts w:cstheme="minorHAnsi"/>
        </w:rPr>
      </w:pPr>
    </w:p>
    <w:p w14:paraId="1DA3F624" w14:textId="3CF5E12A" w:rsidR="0091212B" w:rsidRDefault="0091212B" w:rsidP="00BD39FE">
      <w:pPr>
        <w:spacing w:after="0" w:line="240" w:lineRule="auto"/>
        <w:rPr>
          <w:rStyle w:val="Hyperlink"/>
          <w:rFonts w:cstheme="minorHAnsi"/>
        </w:rPr>
      </w:pPr>
      <w:r w:rsidRPr="00BD39FE">
        <w:rPr>
          <w:rFonts w:cstheme="minorHAnsi"/>
          <w:b/>
          <w:bCs/>
        </w:rPr>
        <w:t>County Health Rankings</w:t>
      </w:r>
      <w:r w:rsidRPr="00BD39FE">
        <w:rPr>
          <w:rFonts w:cstheme="minorHAnsi"/>
        </w:rPr>
        <w:t xml:space="preserve"> – Track which cities and counties have declared racism as a public health crisis</w:t>
      </w:r>
      <w:r w:rsidR="00BD39FE">
        <w:rPr>
          <w:rFonts w:cstheme="minorHAnsi"/>
        </w:rPr>
        <w:t xml:space="preserve">. </w:t>
      </w:r>
      <w:hyperlink r:id="rId19" w:history="1">
        <w:r w:rsidRPr="00BD39FE">
          <w:rPr>
            <w:rStyle w:val="Hyperlink"/>
            <w:rFonts w:cstheme="minorHAnsi"/>
          </w:rPr>
          <w:t>https://www.countyhealthrankings.org/racism-as-a-public-health-crisis-three-responses</w:t>
        </w:r>
      </w:hyperlink>
    </w:p>
    <w:p w14:paraId="3FCBD822" w14:textId="77777777" w:rsidR="00BD39FE" w:rsidRPr="00BD39FE" w:rsidRDefault="00BD39FE" w:rsidP="00BD39FE">
      <w:pPr>
        <w:spacing w:after="0" w:line="240" w:lineRule="auto"/>
        <w:rPr>
          <w:rFonts w:cstheme="minorHAnsi"/>
          <w:color w:val="1F497D"/>
        </w:rPr>
      </w:pPr>
    </w:p>
    <w:p w14:paraId="530F7420" w14:textId="7BBD14EC" w:rsidR="0091212B" w:rsidRPr="00BD39FE" w:rsidRDefault="0091212B" w:rsidP="0091212B">
      <w:pPr>
        <w:rPr>
          <w:rFonts w:cstheme="minorHAnsi"/>
          <w:color w:val="1F497D"/>
        </w:rPr>
      </w:pPr>
      <w:r w:rsidRPr="00BD39FE">
        <w:rPr>
          <w:rFonts w:cstheme="minorHAnsi"/>
          <w:b/>
          <w:bCs/>
        </w:rPr>
        <w:t xml:space="preserve">CARES </w:t>
      </w:r>
      <w:r w:rsidR="00885A4E" w:rsidRPr="00BD39FE">
        <w:rPr>
          <w:rFonts w:cstheme="minorHAnsi"/>
          <w:b/>
          <w:bCs/>
        </w:rPr>
        <w:t xml:space="preserve">- Center for Applied Research and </w:t>
      </w:r>
      <w:r w:rsidRPr="00BD39FE">
        <w:rPr>
          <w:rFonts w:cstheme="minorHAnsi"/>
          <w:b/>
          <w:bCs/>
        </w:rPr>
        <w:t xml:space="preserve">Engagement </w:t>
      </w:r>
      <w:r w:rsidR="00885A4E" w:rsidRPr="00BD39FE">
        <w:rPr>
          <w:rFonts w:cstheme="minorHAnsi"/>
          <w:b/>
          <w:bCs/>
        </w:rPr>
        <w:t>Systems</w:t>
      </w:r>
      <w:r w:rsidRPr="00BD39FE">
        <w:rPr>
          <w:rFonts w:cstheme="minorHAnsi"/>
        </w:rPr>
        <w:t xml:space="preserve"> </w:t>
      </w:r>
      <w:r w:rsidR="00BD39FE">
        <w:rPr>
          <w:rFonts w:cstheme="minorHAnsi"/>
        </w:rPr>
        <w:t>a</w:t>
      </w:r>
      <w:r w:rsidR="009C50F1" w:rsidRPr="00BD39FE">
        <w:rPr>
          <w:rFonts w:cstheme="minorHAnsi"/>
        </w:rPr>
        <w:t xml:space="preserve">llows you to map 80+ health-related indicators for a community and generate a </w:t>
      </w:r>
      <w:r w:rsidRPr="00BD39FE">
        <w:rPr>
          <w:rFonts w:cstheme="minorHAnsi"/>
          <w:color w:val="232323"/>
          <w:shd w:val="clear" w:color="auto" w:fill="FFFFFF"/>
        </w:rPr>
        <w:t xml:space="preserve">Community Health Needs Assessment </w:t>
      </w:r>
      <w:r w:rsidR="009C50F1" w:rsidRPr="00BD39FE">
        <w:rPr>
          <w:rFonts w:cstheme="minorHAnsi"/>
          <w:color w:val="232323"/>
          <w:shd w:val="clear" w:color="auto" w:fill="FFFFFF"/>
        </w:rPr>
        <w:t>Report</w:t>
      </w:r>
      <w:r w:rsidR="00BD39FE">
        <w:rPr>
          <w:rFonts w:cstheme="minorHAnsi"/>
          <w:color w:val="232323"/>
          <w:shd w:val="clear" w:color="auto" w:fill="FFFFFF"/>
        </w:rPr>
        <w:t xml:space="preserve">. </w:t>
      </w:r>
      <w:hyperlink r:id="rId20" w:history="1">
        <w:r w:rsidRPr="00BD39FE">
          <w:rPr>
            <w:rStyle w:val="Hyperlink"/>
            <w:rFonts w:cstheme="minorHAnsi"/>
          </w:rPr>
          <w:t>https://engagementnetwork.org/map-room/</w:t>
        </w:r>
      </w:hyperlink>
    </w:p>
    <w:p w14:paraId="75C22EC5" w14:textId="77777777" w:rsidR="00BD39FE" w:rsidRDefault="00BD39FE" w:rsidP="00BD39FE">
      <w:pPr>
        <w:tabs>
          <w:tab w:val="center" w:pos="4680"/>
        </w:tabs>
        <w:spacing w:after="0" w:line="240" w:lineRule="auto"/>
        <w:rPr>
          <w:rFonts w:cstheme="minorHAnsi"/>
          <w:b/>
          <w:bCs/>
        </w:rPr>
      </w:pPr>
      <w:hyperlink r:id="rId21" w:history="1">
        <w:r w:rsidR="00885A4E" w:rsidRPr="00BD39FE">
          <w:rPr>
            <w:rStyle w:val="Hyperlink"/>
            <w:rFonts w:cstheme="minorHAnsi"/>
            <w:b/>
            <w:bCs/>
          </w:rPr>
          <w:t>CARES Spark Map</w:t>
        </w:r>
      </w:hyperlink>
    </w:p>
    <w:p w14:paraId="69C748C4" w14:textId="77777777" w:rsidR="00BD39FE" w:rsidRDefault="00BD39FE" w:rsidP="00BD39FE">
      <w:pPr>
        <w:tabs>
          <w:tab w:val="center" w:pos="4680"/>
        </w:tabs>
        <w:spacing w:after="0" w:line="240" w:lineRule="auto"/>
        <w:rPr>
          <w:rFonts w:cstheme="minorHAnsi"/>
          <w:b/>
          <w:bCs/>
        </w:rPr>
      </w:pPr>
    </w:p>
    <w:p w14:paraId="7C86A84E" w14:textId="4DCA656F" w:rsidR="0091212B" w:rsidRPr="00BD39FE" w:rsidRDefault="00BD39FE" w:rsidP="00BD39FE">
      <w:pPr>
        <w:tabs>
          <w:tab w:val="center" w:pos="4680"/>
        </w:tabs>
        <w:spacing w:after="120" w:line="240" w:lineRule="auto"/>
        <w:rPr>
          <w:rFonts w:cstheme="minorHAnsi"/>
          <w:b/>
          <w:bCs/>
        </w:rPr>
      </w:pPr>
      <w:hyperlink r:id="rId22" w:history="1">
        <w:r w:rsidR="009C50F1" w:rsidRPr="00BD39FE">
          <w:rPr>
            <w:rStyle w:val="Hyperlink"/>
            <w:b/>
            <w:bCs/>
          </w:rPr>
          <w:t>Community Commons</w:t>
        </w:r>
      </w:hyperlink>
      <w:r w:rsidR="009C50F1">
        <w:rPr>
          <w:b/>
          <w:bCs/>
        </w:rPr>
        <w:t xml:space="preserve"> </w:t>
      </w:r>
      <w:r w:rsidR="009C50F1" w:rsidRPr="00BD39FE">
        <w:t>(The Commons)</w:t>
      </w:r>
      <w:r w:rsidR="009C50F1" w:rsidRPr="00D71B06">
        <w:t xml:space="preserve"> is a platform that community collaboratives and coalitions can </w:t>
      </w:r>
      <w:r w:rsidR="00D71B06" w:rsidRPr="00D71B06">
        <w:t>access to map data and identify community resources and tools related to various topics including health equity</w:t>
      </w:r>
      <w:r>
        <w:t>.</w:t>
      </w:r>
    </w:p>
    <w:p w14:paraId="5B5AEC7B" w14:textId="77777777" w:rsidR="00FE4126" w:rsidRPr="00195BB7" w:rsidRDefault="00FE4126" w:rsidP="00FB0DF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3FBCE02" w14:textId="434D5A1B" w:rsidR="003F2E39" w:rsidRPr="00BD39FE" w:rsidRDefault="00BD39FE" w:rsidP="00BD39FE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HEALTH EQUITY AND FOOD SYSTEMS</w:t>
      </w:r>
    </w:p>
    <w:p w14:paraId="0F57BC68" w14:textId="6BD378B2" w:rsidR="0071294E" w:rsidRDefault="003F2E39" w:rsidP="00BD39FE">
      <w:pPr>
        <w:rPr>
          <w:b/>
          <w:bCs/>
          <w:u w:val="single"/>
        </w:rPr>
      </w:pPr>
      <w:r w:rsidRPr="00BA2EB0">
        <w:rPr>
          <w:b/>
          <w:bCs/>
        </w:rPr>
        <w:t xml:space="preserve">Racial Equity </w:t>
      </w:r>
      <w:r w:rsidR="00BA2EB0">
        <w:rPr>
          <w:b/>
          <w:bCs/>
        </w:rPr>
        <w:t xml:space="preserve">Tools </w:t>
      </w:r>
      <w:r w:rsidRPr="00BA2EB0">
        <w:rPr>
          <w:b/>
          <w:bCs/>
        </w:rPr>
        <w:t>for Planning Food Systems</w:t>
      </w:r>
      <w:r w:rsidR="00670BA7" w:rsidRPr="00BA2EB0">
        <w:rPr>
          <w:b/>
          <w:bCs/>
        </w:rPr>
        <w:t xml:space="preserve"> </w:t>
      </w:r>
      <w:r w:rsidR="00670BA7">
        <w:t xml:space="preserve">– University of Wisconsin developed a </w:t>
      </w:r>
      <w:hyperlink r:id="rId23" w:history="1">
        <w:r w:rsidR="00670BA7" w:rsidRPr="00BD39FE">
          <w:rPr>
            <w:rStyle w:val="Hyperlink"/>
          </w:rPr>
          <w:t>Food System Racial Equity Assessment Tool and facilitation guide</w:t>
        </w:r>
      </w:hyperlink>
      <w:r w:rsidR="00670BA7">
        <w:t xml:space="preserve">. </w:t>
      </w:r>
      <w:r>
        <w:br/>
      </w:r>
    </w:p>
    <w:p w14:paraId="2D8843EA" w14:textId="3EA65D58" w:rsidR="003F2E39" w:rsidRPr="00BD39FE" w:rsidRDefault="003F2E39" w:rsidP="00BD39FE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BD39FE">
        <w:rPr>
          <w:b/>
          <w:bCs/>
          <w:sz w:val="24"/>
          <w:szCs w:val="24"/>
          <w:u w:val="single"/>
        </w:rPr>
        <w:t xml:space="preserve">HEALTH EQUITY </w:t>
      </w:r>
      <w:r w:rsidR="00D96945" w:rsidRPr="00BD39FE">
        <w:rPr>
          <w:b/>
          <w:bCs/>
          <w:sz w:val="24"/>
          <w:szCs w:val="24"/>
          <w:u w:val="single"/>
        </w:rPr>
        <w:t xml:space="preserve">IN </w:t>
      </w:r>
      <w:r w:rsidRPr="00BD39FE">
        <w:rPr>
          <w:b/>
          <w:bCs/>
          <w:sz w:val="24"/>
          <w:szCs w:val="24"/>
          <w:u w:val="single"/>
        </w:rPr>
        <w:t>PLANNING &amp; TRANSPORTATION</w:t>
      </w:r>
    </w:p>
    <w:p w14:paraId="15B7FFAD" w14:textId="51CF3691" w:rsidR="009E2CBC" w:rsidRPr="009E2CBC" w:rsidRDefault="00BD39FE" w:rsidP="009E2CBC">
      <w:pPr>
        <w:spacing w:after="0" w:line="240" w:lineRule="auto"/>
        <w:rPr>
          <w:b/>
          <w:bCs/>
        </w:rPr>
      </w:pPr>
      <w:hyperlink r:id="rId24" w:history="1">
        <w:r w:rsidR="009E2CBC" w:rsidRPr="00BD39FE">
          <w:rPr>
            <w:rStyle w:val="Hyperlink"/>
            <w:b/>
            <w:bCs/>
          </w:rPr>
          <w:t>Ensuring an Equitable Approach to Rebalancing Streets</w:t>
        </w:r>
      </w:hyperlink>
      <w:r w:rsidR="009E2CBC">
        <w:rPr>
          <w:b/>
          <w:bCs/>
        </w:rPr>
        <w:t xml:space="preserve">, </w:t>
      </w:r>
      <w:r w:rsidR="009E2CBC" w:rsidRPr="009E2CBC">
        <w:rPr>
          <w:b/>
          <w:bCs/>
        </w:rPr>
        <w:t xml:space="preserve">14 Strategies to Manage Change </w:t>
      </w:r>
    </w:p>
    <w:p w14:paraId="3862DB02" w14:textId="2CE039A1" w:rsidR="006F4CCF" w:rsidRDefault="009E2CBC" w:rsidP="003F2E39">
      <w:pPr>
        <w:spacing w:after="0" w:line="240" w:lineRule="auto"/>
        <w:rPr>
          <w:b/>
          <w:bCs/>
        </w:rPr>
      </w:pPr>
      <w:r w:rsidRPr="009E2CBC">
        <w:rPr>
          <w:b/>
          <w:bCs/>
        </w:rPr>
        <w:t>with Ethics, Equity, and Empath</w:t>
      </w:r>
      <w:r>
        <w:rPr>
          <w:b/>
          <w:bCs/>
        </w:rPr>
        <w:t>y</w:t>
      </w:r>
      <w:r w:rsidR="00BD39FE">
        <w:rPr>
          <w:b/>
          <w:bCs/>
        </w:rPr>
        <w:t>.</w:t>
      </w:r>
      <w:r>
        <w:rPr>
          <w:b/>
          <w:bCs/>
        </w:rPr>
        <w:t xml:space="preserve"> </w:t>
      </w:r>
      <w:r w:rsidRPr="009E2CBC">
        <w:t>In response to COVID-19, communities rebalanced public space on streets and roadways to provide greater opportunities to walk, roll, and use transit, both to enable social distancing and to promote healthy, active travel.</w:t>
      </w:r>
      <w:r>
        <w:t xml:space="preserve"> For planners, designers, and other transportation professionals</w:t>
      </w:r>
      <w:r w:rsidR="00BD39FE">
        <w:t xml:space="preserve">. </w:t>
      </w:r>
    </w:p>
    <w:p w14:paraId="175AFAEA" w14:textId="77777777" w:rsidR="006F4CCF" w:rsidRDefault="006F4CCF" w:rsidP="003F2E39">
      <w:pPr>
        <w:spacing w:after="0" w:line="240" w:lineRule="auto"/>
        <w:rPr>
          <w:b/>
          <w:bCs/>
        </w:rPr>
      </w:pPr>
    </w:p>
    <w:p w14:paraId="6E26DA9D" w14:textId="25862E2E" w:rsidR="003F2E39" w:rsidRDefault="00953DB3" w:rsidP="003F2E39">
      <w:pPr>
        <w:spacing w:after="0" w:line="240" w:lineRule="auto"/>
      </w:pPr>
      <w:hyperlink r:id="rId25" w:anchor="/p/42" w:history="1">
        <w:r w:rsidR="003F2E39" w:rsidRPr="00953DB3">
          <w:rPr>
            <w:rStyle w:val="Hyperlink"/>
            <w:b/>
            <w:bCs/>
          </w:rPr>
          <w:t>12 Strategies for Centering and Prioritizing Health Equity in Transportation</w:t>
        </w:r>
      </w:hyperlink>
      <w:r>
        <w:t xml:space="preserve">. </w:t>
      </w:r>
      <w:r w:rsidR="00922C1E">
        <w:t>Charles Brown, Equitable Cities, provides guidance for meaningful discussion to move equity from a buzzword to a process and outcome</w:t>
      </w:r>
      <w:r w:rsidR="00D96945">
        <w:t xml:space="preserve"> in planning and transportation</w:t>
      </w:r>
      <w:r w:rsidR="00922C1E">
        <w:t>.</w:t>
      </w:r>
    </w:p>
    <w:p w14:paraId="343FD1D6" w14:textId="029F1510" w:rsidR="003F2E39" w:rsidRDefault="003F2E39" w:rsidP="003F2E39">
      <w:pPr>
        <w:spacing w:after="0" w:line="240" w:lineRule="auto"/>
      </w:pPr>
    </w:p>
    <w:p w14:paraId="09C19B3C" w14:textId="094BAA15" w:rsidR="000A4A7F" w:rsidRDefault="00953DB3" w:rsidP="000A4A7F">
      <w:pPr>
        <w:spacing w:after="0" w:line="240" w:lineRule="auto"/>
      </w:pPr>
      <w:hyperlink r:id="rId26" w:history="1">
        <w:r w:rsidR="000A4A7F" w:rsidRPr="00953DB3">
          <w:rPr>
            <w:rStyle w:val="Hyperlink"/>
            <w:b/>
            <w:bCs/>
          </w:rPr>
          <w:t>Pandemic Toolkit: Manual for Rebuilding Community Health and Opportunity Post COVID-19</w:t>
        </w:r>
      </w:hyperlink>
      <w:r>
        <w:rPr>
          <w:b/>
          <w:bCs/>
        </w:rPr>
        <w:t xml:space="preserve">. </w:t>
      </w:r>
      <w:r w:rsidR="000A4A7F">
        <w:t>Provides list of 20 rapid strategies (mostly policy, zoning in nature) in response to COVID-19 and beyond such as pop-up bike lanes, open complete streets, and i</w:t>
      </w:r>
      <w:r w:rsidR="000A4A7F" w:rsidRPr="00B34226">
        <w:t>mplement</w:t>
      </w:r>
      <w:r w:rsidR="000A4A7F">
        <w:t>ing</w:t>
      </w:r>
      <w:r w:rsidR="000A4A7F" w:rsidRPr="00B34226">
        <w:t xml:space="preserve"> the U.S. National Association of City Transportation Officials (NACTO) Streets for Pandemic Response and Recovery.</w:t>
      </w:r>
    </w:p>
    <w:p w14:paraId="6A063433" w14:textId="77777777" w:rsidR="000A4A7F" w:rsidRDefault="000A4A7F" w:rsidP="000A4A7F">
      <w:pPr>
        <w:spacing w:after="0" w:line="240" w:lineRule="auto"/>
      </w:pPr>
    </w:p>
    <w:p w14:paraId="0B0D7B19" w14:textId="215E04C6" w:rsidR="000A4A7F" w:rsidRDefault="00953DB3" w:rsidP="000A4A7F">
      <w:pPr>
        <w:spacing w:after="0" w:line="240" w:lineRule="auto"/>
      </w:pPr>
      <w:hyperlink r:id="rId27" w:history="1">
        <w:r w:rsidR="000A4A7F" w:rsidRPr="00953DB3">
          <w:rPr>
            <w:rStyle w:val="Hyperlink"/>
            <w:b/>
            <w:bCs/>
          </w:rPr>
          <w:t>The Toolkit for Health, Arts, Parks and Equity</w:t>
        </w:r>
      </w:hyperlink>
      <w:r>
        <w:rPr>
          <w:b/>
          <w:bCs/>
        </w:rPr>
        <w:t xml:space="preserve">. </w:t>
      </w:r>
      <w:r w:rsidR="000A4A7F">
        <w:t xml:space="preserve">From The Trust for Public Land, in collaboration with NACHO (in response to coronavirus pandemic) to create this toolkit </w:t>
      </w:r>
      <w:r w:rsidR="000A4A7F" w:rsidRPr="00BB3EFC">
        <w:t>using place-based arts and culture to achieve health equity</w:t>
      </w:r>
      <w:r w:rsidR="000A4A7F">
        <w:t>. Includes section on various case studies across the country along with guiding principles.  Main audience is local county public health departments</w:t>
      </w:r>
      <w:r>
        <w:t>.</w:t>
      </w:r>
    </w:p>
    <w:p w14:paraId="2BF7C78D" w14:textId="5BAF43AA" w:rsidR="000A4A7F" w:rsidRDefault="000A4A7F" w:rsidP="003F2E39">
      <w:pPr>
        <w:spacing w:after="0" w:line="240" w:lineRule="auto"/>
      </w:pPr>
    </w:p>
    <w:p w14:paraId="0F61DA4F" w14:textId="7C9364A4" w:rsidR="003F2E39" w:rsidRDefault="00953DB3" w:rsidP="00FE4126">
      <w:pPr>
        <w:spacing w:after="0" w:line="240" w:lineRule="auto"/>
      </w:pPr>
      <w:hyperlink r:id="rId28" w:history="1">
        <w:r w:rsidR="003F2E39" w:rsidRPr="00953DB3">
          <w:rPr>
            <w:rStyle w:val="Hyperlink"/>
            <w:b/>
            <w:bCs/>
          </w:rPr>
          <w:t>Long-Range Planning for Health, Equity &amp; Prosperity- A Primer for Local Governments</w:t>
        </w:r>
      </w:hyperlink>
      <w:r>
        <w:rPr>
          <w:b/>
          <w:bCs/>
        </w:rPr>
        <w:t>.</w:t>
      </w:r>
      <w:r w:rsidR="00922C1E">
        <w:t xml:space="preserve"> From </w:t>
      </w:r>
      <w:proofErr w:type="spellStart"/>
      <w:r w:rsidR="00922C1E">
        <w:t>ChangeLab</w:t>
      </w:r>
      <w:proofErr w:type="spellEnd"/>
      <w:r w:rsidR="00922C1E">
        <w:t xml:space="preserve"> Solutions, </w:t>
      </w:r>
      <w:r w:rsidR="00D96945">
        <w:t xml:space="preserve">for planners at city and regional level, applies to urban and rural communities, </w:t>
      </w:r>
      <w:r w:rsidR="00FE4126">
        <w:t xml:space="preserve">to prioritize health and equity in their work. </w:t>
      </w:r>
    </w:p>
    <w:p w14:paraId="178D76C9" w14:textId="77777777" w:rsidR="00922C1E" w:rsidRDefault="00922C1E" w:rsidP="003F2E39">
      <w:pPr>
        <w:spacing w:after="0" w:line="240" w:lineRule="auto"/>
      </w:pPr>
    </w:p>
    <w:p w14:paraId="5EF5132C" w14:textId="31E6EBA3" w:rsidR="003F2E39" w:rsidRPr="000A4A7F" w:rsidRDefault="00953DB3" w:rsidP="003F2E39">
      <w:pPr>
        <w:spacing w:after="0" w:line="240" w:lineRule="auto"/>
        <w:rPr>
          <w:b/>
          <w:bCs/>
        </w:rPr>
      </w:pPr>
      <w:hyperlink r:id="rId29" w:history="1">
        <w:r w:rsidR="003F2E39" w:rsidRPr="00953DB3">
          <w:rPr>
            <w:rStyle w:val="Hyperlink"/>
            <w:b/>
            <w:bCs/>
          </w:rPr>
          <w:t xml:space="preserve">Charles Brown’s </w:t>
        </w:r>
        <w:r w:rsidR="000A4A7F" w:rsidRPr="00953DB3">
          <w:rPr>
            <w:rStyle w:val="Hyperlink"/>
            <w:b/>
            <w:bCs/>
          </w:rPr>
          <w:t xml:space="preserve">Rutgers </w:t>
        </w:r>
        <w:r w:rsidR="003F2E39" w:rsidRPr="00953DB3">
          <w:rPr>
            <w:rStyle w:val="Hyperlink"/>
            <w:b/>
            <w:bCs/>
          </w:rPr>
          <w:t xml:space="preserve">Grad Students Work </w:t>
        </w:r>
        <w:r w:rsidR="000A4A7F" w:rsidRPr="00953DB3">
          <w:rPr>
            <w:rStyle w:val="Hyperlink"/>
            <w:b/>
            <w:bCs/>
          </w:rPr>
          <w:t>focusing on Complete Streets and Crime Prevention through Environmental Design</w:t>
        </w:r>
      </w:hyperlink>
    </w:p>
    <w:p w14:paraId="4D132949" w14:textId="77777777" w:rsidR="0071294E" w:rsidRDefault="0071294E" w:rsidP="003F2E39">
      <w:pPr>
        <w:spacing w:after="0" w:line="240" w:lineRule="auto"/>
      </w:pPr>
    </w:p>
    <w:p w14:paraId="7CA0826C" w14:textId="506945C4" w:rsidR="003F2E39" w:rsidRDefault="00953DB3" w:rsidP="003F2E39">
      <w:pPr>
        <w:spacing w:after="0" w:line="240" w:lineRule="auto"/>
      </w:pPr>
      <w:hyperlink r:id="rId30" w:history="1">
        <w:r w:rsidR="003F2E39" w:rsidRPr="00953DB3">
          <w:rPr>
            <w:rStyle w:val="Hyperlink"/>
            <w:b/>
            <w:bCs/>
          </w:rPr>
          <w:t>Moving Beyond the Aesthetics and Pageantry of Equity and Inclusion in Transportation</w:t>
        </w:r>
      </w:hyperlink>
      <w:r>
        <w:rPr>
          <w:b/>
          <w:bCs/>
        </w:rPr>
        <w:t xml:space="preserve">. </w:t>
      </w:r>
      <w:r w:rsidR="00B34226">
        <w:t xml:space="preserve">Charles Brown with Equitable Cities explores the </w:t>
      </w:r>
      <w:r w:rsidR="000A4A7F">
        <w:t>intersection of artists and transportation and their “i</w:t>
      </w:r>
      <w:r w:rsidR="00B34226" w:rsidRPr="00B34226">
        <w:t>ntentional collaboration</w:t>
      </w:r>
      <w:r w:rsidR="000A4A7F">
        <w:t>” for community healing and “</w:t>
      </w:r>
      <w:r w:rsidR="00B34226" w:rsidRPr="00B34226">
        <w:t>co-powering</w:t>
      </w:r>
      <w:r w:rsidR="000A4A7F">
        <w:t>”</w:t>
      </w:r>
      <w:r w:rsidR="00B34226" w:rsidRPr="00B34226">
        <w:t>.</w:t>
      </w:r>
    </w:p>
    <w:p w14:paraId="3DE1EA8A" w14:textId="395EF6F6" w:rsidR="00BA096C" w:rsidRPr="006F032E" w:rsidRDefault="00BA096C" w:rsidP="00BA096C">
      <w:pPr>
        <w:spacing w:after="0" w:line="240" w:lineRule="auto"/>
      </w:pPr>
    </w:p>
    <w:sectPr w:rsidR="00BA096C" w:rsidRPr="006F032E" w:rsidSect="0022171C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ECB"/>
    <w:multiLevelType w:val="hybridMultilevel"/>
    <w:tmpl w:val="0280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6C7D"/>
    <w:multiLevelType w:val="hybridMultilevel"/>
    <w:tmpl w:val="6E8C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300E0"/>
    <w:multiLevelType w:val="hybridMultilevel"/>
    <w:tmpl w:val="A5EA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E01"/>
    <w:multiLevelType w:val="hybridMultilevel"/>
    <w:tmpl w:val="974E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6C"/>
    <w:rsid w:val="000A4A7F"/>
    <w:rsid w:val="001008D0"/>
    <w:rsid w:val="00195BB7"/>
    <w:rsid w:val="0022171C"/>
    <w:rsid w:val="00326317"/>
    <w:rsid w:val="003E30F0"/>
    <w:rsid w:val="003F2E39"/>
    <w:rsid w:val="003F6D90"/>
    <w:rsid w:val="004212A0"/>
    <w:rsid w:val="00555C66"/>
    <w:rsid w:val="0060096A"/>
    <w:rsid w:val="00634740"/>
    <w:rsid w:val="00670BA7"/>
    <w:rsid w:val="006F032E"/>
    <w:rsid w:val="006F4CCF"/>
    <w:rsid w:val="0071294E"/>
    <w:rsid w:val="00754296"/>
    <w:rsid w:val="007E3AE8"/>
    <w:rsid w:val="0082007A"/>
    <w:rsid w:val="00885A4E"/>
    <w:rsid w:val="0091212B"/>
    <w:rsid w:val="00922C1E"/>
    <w:rsid w:val="00953DB3"/>
    <w:rsid w:val="009C50F1"/>
    <w:rsid w:val="009D59E9"/>
    <w:rsid w:val="009E2CBC"/>
    <w:rsid w:val="00A97939"/>
    <w:rsid w:val="00B15E2A"/>
    <w:rsid w:val="00B233B6"/>
    <w:rsid w:val="00B34226"/>
    <w:rsid w:val="00B47A07"/>
    <w:rsid w:val="00BA096C"/>
    <w:rsid w:val="00BA2EB0"/>
    <w:rsid w:val="00BB3EFC"/>
    <w:rsid w:val="00BD39FE"/>
    <w:rsid w:val="00C3564E"/>
    <w:rsid w:val="00C83017"/>
    <w:rsid w:val="00D71B06"/>
    <w:rsid w:val="00D96945"/>
    <w:rsid w:val="00FB0DF0"/>
    <w:rsid w:val="00FE4126"/>
    <w:rsid w:val="00FF3C45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49B0"/>
  <w15:chartTrackingRefBased/>
  <w15:docId w15:val="{E77134BA-F169-41FF-ACB6-55005CE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ialequityalliance.org/resources/racial-equity-getting-results/" TargetMode="External"/><Relationship Id="rId13" Type="http://schemas.openxmlformats.org/officeDocument/2006/relationships/hyperlink" Target="https://chronicdisease.org/tag/race-toward-health/" TargetMode="External"/><Relationship Id="rId18" Type="http://schemas.openxmlformats.org/officeDocument/2006/relationships/hyperlink" Target="https://www.countyhealthrankings.org/" TargetMode="External"/><Relationship Id="rId26" Type="http://schemas.openxmlformats.org/officeDocument/2006/relationships/hyperlink" Target="https://spark.adobe.com/page/a66lYPnBiZ8z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arkmap.org/report/" TargetMode="External"/><Relationship Id="rId7" Type="http://schemas.openxmlformats.org/officeDocument/2006/relationships/hyperlink" Target="https://www.racialequityalliance.org/where-we-work/jurisdictions/" TargetMode="External"/><Relationship Id="rId12" Type="http://schemas.openxmlformats.org/officeDocument/2006/relationships/hyperlink" Target="https://chronicdisease.org/health-equity-council-launches-race-toward-health-podcast-series/" TargetMode="External"/><Relationship Id="rId17" Type="http://schemas.openxmlformats.org/officeDocument/2006/relationships/hyperlink" Target="https://www.cdc.gov/healthequity/index.html" TargetMode="External"/><Relationship Id="rId25" Type="http://schemas.openxmlformats.org/officeDocument/2006/relationships/hyperlink" Target="https://www.nxtbook.com/ygsreprints/ITE/ITE_February2020/index.php?startid=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healthequity/racism-disparities/index.html" TargetMode="External"/><Relationship Id="rId20" Type="http://schemas.openxmlformats.org/officeDocument/2006/relationships/hyperlink" Target="https://engagementnetwork.org/map-room/" TargetMode="External"/><Relationship Id="rId29" Type="http://schemas.openxmlformats.org/officeDocument/2006/relationships/hyperlink" Target="https://rutgers.app.box.com/s/ctecx60cl9potfu49a09z7j3qilf1gg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dtc.org/nadtc-transportation-diversity-initiative/diversity-and-equity-resources/" TargetMode="External"/><Relationship Id="rId11" Type="http://schemas.openxmlformats.org/officeDocument/2006/relationships/hyperlink" Target="https://healthyplacesbydesign.org/equitable-processes-lead-to-more-equitable-outcomes/" TargetMode="External"/><Relationship Id="rId24" Type="http://schemas.openxmlformats.org/officeDocument/2006/relationships/hyperlink" Target="https://tooledesign.com/wp-content/uploads/2021/02/Ensuring-an-Equitable-Approach-to-Rebalancing-Streets.pd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segregatedbydesign.com/" TargetMode="External"/><Relationship Id="rId23" Type="http://schemas.openxmlformats.org/officeDocument/2006/relationships/hyperlink" Target="https://dpla.wisc.edu/wp-content/uploads/sites/1021/2017/06/Dundore-PP-Racial-Equity-Food-Planning.pdf" TargetMode="External"/><Relationship Id="rId28" Type="http://schemas.openxmlformats.org/officeDocument/2006/relationships/hyperlink" Target="https://www.changelabsolutions.org/product/long-range-planning-primer" TargetMode="External"/><Relationship Id="rId10" Type="http://schemas.openxmlformats.org/officeDocument/2006/relationships/hyperlink" Target="https://www.racialequityalliance.org/wp-content/uploads/2016/11/GARE-Racial-Equity-Action-Plans.pdf" TargetMode="External"/><Relationship Id="rId19" Type="http://schemas.openxmlformats.org/officeDocument/2006/relationships/hyperlink" Target="https://www.countyhealthrankings.org/racism-as-a-public-health-crisis-three-respons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cialequityalliance.org/wp-content/uploads/2015/10/GARE-Racial_Equity_Toolkit.pdf" TargetMode="External"/><Relationship Id="rId14" Type="http://schemas.openxmlformats.org/officeDocument/2006/relationships/hyperlink" Target="https://vimeo.com/543348935" TargetMode="External"/><Relationship Id="rId22" Type="http://schemas.openxmlformats.org/officeDocument/2006/relationships/hyperlink" Target="https://www.communitycommons.org/" TargetMode="External"/><Relationship Id="rId27" Type="http://schemas.openxmlformats.org/officeDocument/2006/relationships/hyperlink" Target="https://www.tpl.org/the-toolkit-for-health-arts-parks-and-equity" TargetMode="External"/><Relationship Id="rId30" Type="http://schemas.openxmlformats.org/officeDocument/2006/relationships/hyperlink" Target="https://forecast-public-art.foleon.com/forward/issue-2-transportation/charles-t-brown-mpa-cpd-l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1173</Words>
  <Characters>6690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 Galic</dc:creator>
  <cp:keywords/>
  <dc:description/>
  <cp:lastModifiedBy>Heather Murphy</cp:lastModifiedBy>
  <cp:revision>2</cp:revision>
  <cp:lastPrinted>2021-03-22T14:04:00Z</cp:lastPrinted>
  <dcterms:created xsi:type="dcterms:W3CDTF">2021-06-22T01:40:00Z</dcterms:created>
  <dcterms:modified xsi:type="dcterms:W3CDTF">2021-06-22T01:40:00Z</dcterms:modified>
</cp:coreProperties>
</file>