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C223B" w14:textId="264871DB" w:rsidR="002547FC" w:rsidRDefault="002547FC" w:rsidP="00E03BFD">
      <w:pPr>
        <w:spacing w:after="0" w:line="240" w:lineRule="auto"/>
        <w:jc w:val="center"/>
        <w:rPr>
          <w:b/>
          <w:bCs/>
          <w:sz w:val="18"/>
          <w:szCs w:val="10"/>
        </w:rPr>
      </w:pPr>
    </w:p>
    <w:p w14:paraId="2DFB0399" w14:textId="77777777" w:rsidR="0033446C" w:rsidRPr="00564F92" w:rsidRDefault="0033446C" w:rsidP="00564F92">
      <w:pPr>
        <w:spacing w:after="0" w:line="240" w:lineRule="auto"/>
        <w:jc w:val="center"/>
        <w:rPr>
          <w:rFonts w:cstheme="minorHAnsi"/>
          <w:b/>
          <w:bCs/>
          <w:sz w:val="32"/>
          <w:szCs w:val="32"/>
        </w:rPr>
      </w:pPr>
      <w:r w:rsidRPr="00564F92">
        <w:rPr>
          <w:rFonts w:cstheme="minorHAnsi"/>
          <w:b/>
          <w:bCs/>
          <w:sz w:val="32"/>
          <w:szCs w:val="32"/>
        </w:rPr>
        <w:t>2019 Education and Health GEAR Group</w:t>
      </w:r>
    </w:p>
    <w:p w14:paraId="123AD1BD" w14:textId="77777777" w:rsidR="00352205" w:rsidRPr="00564F92" w:rsidRDefault="00352205" w:rsidP="00564F92">
      <w:pPr>
        <w:spacing w:after="0" w:line="240" w:lineRule="auto"/>
        <w:rPr>
          <w:rFonts w:eastAsia="Times New Roman" w:cstheme="minorHAnsi"/>
          <w:color w:val="1A1A1A"/>
          <w:sz w:val="24"/>
          <w:szCs w:val="24"/>
          <w:shd w:val="clear" w:color="auto" w:fill="FFFFFF"/>
        </w:rPr>
      </w:pPr>
    </w:p>
    <w:p w14:paraId="394512FB" w14:textId="016B7381" w:rsidR="00352205" w:rsidRPr="00564F92" w:rsidRDefault="00352205" w:rsidP="00564F92">
      <w:pPr>
        <w:spacing w:after="0" w:line="240" w:lineRule="auto"/>
        <w:rPr>
          <w:rFonts w:eastAsia="Times New Roman" w:cstheme="minorHAnsi"/>
          <w:i/>
          <w:iCs/>
        </w:rPr>
      </w:pPr>
      <w:r w:rsidRPr="00564F92">
        <w:rPr>
          <w:rFonts w:eastAsia="Times New Roman" w:cstheme="minorHAnsi"/>
          <w:i/>
          <w:iCs/>
          <w:color w:val="1A1A1A"/>
          <w:shd w:val="clear" w:color="auto" w:fill="FFFFFF"/>
        </w:rPr>
        <w:t>This GEAR Group explored strategies to increase access to education and ensure safe and healthy environments within educational settings. </w:t>
      </w:r>
      <w:r w:rsidRPr="00564F92">
        <w:rPr>
          <w:rFonts w:eastAsia="Times New Roman" w:cstheme="minorHAnsi"/>
          <w:i/>
          <w:iCs/>
          <w:color w:val="000000"/>
          <w:shd w:val="clear" w:color="auto" w:fill="FFFFFF"/>
        </w:rPr>
        <w:t xml:space="preserve">Topics included school readiness, early childhood education, social and emotional learning supports. </w:t>
      </w:r>
    </w:p>
    <w:p w14:paraId="263A146E" w14:textId="0747830D" w:rsidR="0033446C" w:rsidRPr="00564F92" w:rsidRDefault="0033446C" w:rsidP="00564F92">
      <w:pPr>
        <w:spacing w:after="0" w:line="240" w:lineRule="auto"/>
        <w:jc w:val="center"/>
        <w:rPr>
          <w:rFonts w:cstheme="minorHAnsi"/>
        </w:rPr>
      </w:pPr>
    </w:p>
    <w:p w14:paraId="5D7B4F8E" w14:textId="0B3C3613" w:rsidR="00352205" w:rsidRPr="00564F92" w:rsidRDefault="00352205" w:rsidP="00564F92">
      <w:pPr>
        <w:spacing w:after="0" w:line="240" w:lineRule="auto"/>
        <w:jc w:val="center"/>
        <w:rPr>
          <w:rFonts w:cstheme="minorHAnsi"/>
          <w:b/>
          <w:bCs/>
        </w:rPr>
      </w:pPr>
      <w:r w:rsidRPr="00564F92">
        <w:rPr>
          <w:rFonts w:cstheme="minorHAnsi"/>
          <w:b/>
          <w:bCs/>
        </w:rPr>
        <w:t>Participating states:</w:t>
      </w:r>
    </w:p>
    <w:p w14:paraId="00209777" w14:textId="3AE6EB46" w:rsidR="00451286" w:rsidRPr="00564F92" w:rsidRDefault="00451286" w:rsidP="00564F92">
      <w:pPr>
        <w:spacing w:after="0" w:line="240" w:lineRule="auto"/>
        <w:jc w:val="center"/>
        <w:rPr>
          <w:rFonts w:cstheme="minorHAnsi"/>
        </w:rPr>
      </w:pPr>
      <w:r w:rsidRPr="00564F92">
        <w:rPr>
          <w:rFonts w:cstheme="minorHAnsi"/>
        </w:rPr>
        <w:t>C</w:t>
      </w:r>
      <w:r w:rsidR="00A13335" w:rsidRPr="00564F92">
        <w:rPr>
          <w:rFonts w:cstheme="minorHAnsi"/>
        </w:rPr>
        <w:t xml:space="preserve">alifornia, Colorado, Florida, Mississippi, New Mexico, Ohio, Oklahoma, </w:t>
      </w:r>
      <w:r w:rsidR="00564F92" w:rsidRPr="00564F92">
        <w:rPr>
          <w:rFonts w:cstheme="minorHAnsi"/>
        </w:rPr>
        <w:t>Texas and Utah</w:t>
      </w:r>
    </w:p>
    <w:p w14:paraId="64F6BE2A" w14:textId="77777777" w:rsidR="00564F92" w:rsidRPr="00564F92" w:rsidRDefault="00564F92" w:rsidP="00564F92">
      <w:pPr>
        <w:spacing w:after="0" w:line="240" w:lineRule="auto"/>
        <w:rPr>
          <w:rFonts w:eastAsia="Times New Roman" w:cstheme="minorHAnsi"/>
        </w:rPr>
      </w:pPr>
    </w:p>
    <w:p w14:paraId="3277470C" w14:textId="7184B1AC" w:rsidR="0052034E" w:rsidRPr="00564F92" w:rsidRDefault="0052034E" w:rsidP="00564F92">
      <w:pPr>
        <w:spacing w:after="0" w:line="240" w:lineRule="auto"/>
        <w:rPr>
          <w:rFonts w:eastAsia="Times New Roman" w:cstheme="minorHAnsi"/>
          <w:color w:val="1A1A1A"/>
        </w:rPr>
      </w:pPr>
      <w:r w:rsidRPr="00564F92">
        <w:rPr>
          <w:rFonts w:eastAsia="Times New Roman" w:cstheme="minorHAnsi"/>
        </w:rPr>
        <w:t xml:space="preserve">The 2019 GEAR Groups focused on </w:t>
      </w:r>
      <w:r w:rsidR="00564F92">
        <w:rPr>
          <w:rFonts w:eastAsia="Times New Roman" w:cstheme="minorHAnsi"/>
        </w:rPr>
        <w:t xml:space="preserve">broadly on </w:t>
      </w:r>
      <w:r w:rsidR="00564F92" w:rsidRPr="00564F92">
        <w:rPr>
          <w:rFonts w:eastAsia="Times New Roman" w:cstheme="minorHAnsi"/>
          <w:b/>
          <w:bCs/>
        </w:rPr>
        <w:t xml:space="preserve">health equity and </w:t>
      </w:r>
      <w:r w:rsidRPr="00564F92">
        <w:rPr>
          <w:rFonts w:eastAsia="Times New Roman" w:cstheme="minorHAnsi"/>
          <w:b/>
          <w:bCs/>
        </w:rPr>
        <w:t>upstream factors</w:t>
      </w:r>
      <w:r w:rsidR="00564F92">
        <w:rPr>
          <w:rFonts w:eastAsia="Times New Roman" w:cstheme="minorHAnsi"/>
          <w:color w:val="1A1A1A"/>
        </w:rPr>
        <w:t xml:space="preserve">. </w:t>
      </w:r>
      <w:r w:rsidR="00564F92" w:rsidRPr="00564F92">
        <w:rPr>
          <w:rFonts w:eastAsia="Times New Roman" w:cstheme="minorHAnsi"/>
          <w:b/>
          <w:bCs/>
          <w:color w:val="1A1A1A"/>
        </w:rPr>
        <w:t>The</w:t>
      </w:r>
      <w:r w:rsidRPr="00564F92">
        <w:rPr>
          <w:rFonts w:eastAsia="Times New Roman" w:cstheme="minorHAnsi"/>
          <w:b/>
          <w:bCs/>
          <w:color w:val="1A1A1A"/>
        </w:rPr>
        <w:t xml:space="preserve"> </w:t>
      </w:r>
      <w:r w:rsidR="0074183C" w:rsidRPr="00564F92">
        <w:rPr>
          <w:rFonts w:eastAsia="Times New Roman" w:cstheme="minorHAnsi"/>
          <w:b/>
          <w:bCs/>
          <w:color w:val="1A1A1A"/>
        </w:rPr>
        <w:t>Education and Health GEAR Group</w:t>
      </w:r>
      <w:r w:rsidR="0074183C" w:rsidRPr="00564F92">
        <w:rPr>
          <w:rFonts w:eastAsia="Times New Roman" w:cstheme="minorHAnsi"/>
          <w:color w:val="1A1A1A"/>
        </w:rPr>
        <w:t xml:space="preserve"> members </w:t>
      </w:r>
      <w:r w:rsidR="00564F92">
        <w:rPr>
          <w:rFonts w:eastAsia="Times New Roman" w:cstheme="minorHAnsi"/>
          <w:color w:val="1A1A1A"/>
        </w:rPr>
        <w:t>focused specifically on</w:t>
      </w:r>
      <w:r w:rsidRPr="00564F92">
        <w:rPr>
          <w:rFonts w:eastAsia="Times New Roman" w:cstheme="minorHAnsi"/>
          <w:color w:val="1A1A1A"/>
        </w:rPr>
        <w:t xml:space="preserve"> how public health can change the political, social, and economic causes for some communities’ increased risk for chronic illnesses like diabetes, cancer, or heart disease. This effort is in line with the 2018-19 NACDD </w:t>
      </w:r>
      <w:hyperlink r:id="rId7" w:history="1">
        <w:r w:rsidRPr="00564F92">
          <w:rPr>
            <w:rStyle w:val="Hyperlink"/>
            <w:rFonts w:eastAsia="Times New Roman" w:cstheme="minorHAnsi"/>
            <w:color w:val="007C89"/>
          </w:rPr>
          <w:t>President’s Challenge</w:t>
        </w:r>
      </w:hyperlink>
      <w:r w:rsidRPr="00564F92">
        <w:rPr>
          <w:rFonts w:eastAsia="Times New Roman" w:cstheme="minorHAnsi"/>
          <w:color w:val="202020"/>
        </w:rPr>
        <w:t xml:space="preserve"> </w:t>
      </w:r>
      <w:r w:rsidRPr="00564F92">
        <w:rPr>
          <w:rFonts w:eastAsia="Times New Roman" w:cstheme="minorHAnsi"/>
          <w:color w:val="1A1A1A"/>
        </w:rPr>
        <w:t xml:space="preserve">under Dr. </w:t>
      </w:r>
      <w:hyperlink r:id="rId8" w:history="1">
        <w:r w:rsidRPr="00564F92">
          <w:rPr>
            <w:rStyle w:val="Hyperlink"/>
            <w:rFonts w:eastAsia="Times New Roman" w:cstheme="minorHAnsi"/>
            <w:color w:val="0057B8"/>
          </w:rPr>
          <w:t>Gabriel Kaplan</w:t>
        </w:r>
      </w:hyperlink>
      <w:r w:rsidRPr="00564F92">
        <w:rPr>
          <w:rFonts w:eastAsia="Times New Roman" w:cstheme="minorHAnsi"/>
          <w:color w:val="1A1A1A"/>
        </w:rPr>
        <w:t xml:space="preserve">’s leadership. </w:t>
      </w:r>
      <w:r w:rsidRPr="00564F92">
        <w:rPr>
          <w:rFonts w:eastAsia="Times New Roman" w:cstheme="minorHAnsi"/>
          <w:color w:val="202020"/>
        </w:rPr>
        <w:t>Dr. Kaplan’s </w:t>
      </w:r>
      <w:hyperlink r:id="rId9" w:history="1">
        <w:r w:rsidRPr="00564F92">
          <w:rPr>
            <w:rStyle w:val="Hyperlink"/>
            <w:rFonts w:eastAsia="Times New Roman" w:cstheme="minorHAnsi"/>
            <w:color w:val="007C89"/>
          </w:rPr>
          <w:t>presentation</w:t>
        </w:r>
      </w:hyperlink>
      <w:r w:rsidRPr="00564F92">
        <w:rPr>
          <w:rFonts w:eastAsia="Times New Roman" w:cstheme="minorHAnsi"/>
          <w:color w:val="202020"/>
        </w:rPr>
        <w:t> at NACDD’s Chronic Disease Academy in April provides a </w:t>
      </w:r>
      <w:hyperlink r:id="rId10" w:history="1">
        <w:r w:rsidRPr="00564F92">
          <w:rPr>
            <w:rStyle w:val="Hyperlink"/>
            <w:rFonts w:eastAsia="Times New Roman" w:cstheme="minorHAnsi"/>
            <w:color w:val="007C89"/>
          </w:rPr>
          <w:t>roadmap</w:t>
        </w:r>
      </w:hyperlink>
      <w:r w:rsidRPr="00564F92">
        <w:rPr>
          <w:rFonts w:eastAsia="Times New Roman" w:cstheme="minorHAnsi"/>
          <w:color w:val="202020"/>
        </w:rPr>
        <w:t> for incorporating the social determinants of health into chronic disease prevention and control and health promotion, as does his article, </w:t>
      </w:r>
      <w:hyperlink r:id="rId11" w:history="1">
        <w:r w:rsidRPr="00564F92">
          <w:rPr>
            <w:rStyle w:val="Hyperlink"/>
            <w:rFonts w:eastAsia="Times New Roman" w:cstheme="minorHAnsi"/>
            <w:color w:val="007C89"/>
          </w:rPr>
          <w:t>“Socially Determined: A Call to Action”</w:t>
        </w:r>
      </w:hyperlink>
      <w:r w:rsidRPr="00564F92">
        <w:rPr>
          <w:rFonts w:eastAsia="Times New Roman" w:cstheme="minorHAnsi"/>
          <w:color w:val="202020"/>
        </w:rPr>
        <w:t> featured in the Association’s </w:t>
      </w:r>
      <w:hyperlink r:id="rId12" w:history="1">
        <w:r w:rsidRPr="00564F92">
          <w:rPr>
            <w:rStyle w:val="Hyperlink"/>
            <w:rFonts w:eastAsia="Times New Roman" w:cstheme="minorHAnsi"/>
            <w:color w:val="007C89"/>
          </w:rPr>
          <w:t>Insights</w:t>
        </w:r>
      </w:hyperlink>
      <w:r w:rsidRPr="00564F92">
        <w:rPr>
          <w:rFonts w:eastAsia="Times New Roman" w:cstheme="minorHAnsi"/>
          <w:color w:val="202020"/>
        </w:rPr>
        <w:t xml:space="preserve"> magazine. </w:t>
      </w:r>
    </w:p>
    <w:p w14:paraId="3089CE3F" w14:textId="77777777" w:rsidR="00354387" w:rsidRPr="00564F92" w:rsidRDefault="00354387" w:rsidP="00564F92">
      <w:pPr>
        <w:spacing w:after="0" w:line="240" w:lineRule="auto"/>
        <w:jc w:val="center"/>
        <w:rPr>
          <w:rFonts w:cstheme="minorHAnsi"/>
          <w:b/>
          <w:bCs/>
          <w:sz w:val="28"/>
          <w:szCs w:val="28"/>
        </w:rPr>
      </w:pPr>
    </w:p>
    <w:p w14:paraId="57E5F3BC" w14:textId="4B9865E5" w:rsidR="009B2644" w:rsidRPr="00564F92" w:rsidRDefault="00C211C4" w:rsidP="00564F92">
      <w:pPr>
        <w:spacing w:after="0" w:line="240" w:lineRule="auto"/>
        <w:jc w:val="center"/>
        <w:rPr>
          <w:rFonts w:cstheme="minorHAnsi"/>
          <w:b/>
          <w:bCs/>
          <w:sz w:val="28"/>
          <w:szCs w:val="28"/>
        </w:rPr>
      </w:pPr>
      <w:r w:rsidRPr="00564F92">
        <w:rPr>
          <w:rFonts w:cstheme="minorHAnsi"/>
          <w:b/>
          <w:bCs/>
          <w:sz w:val="28"/>
          <w:szCs w:val="28"/>
        </w:rPr>
        <w:t>Resources and References</w:t>
      </w:r>
    </w:p>
    <w:p w14:paraId="71FCF637" w14:textId="77777777" w:rsidR="00FD2899" w:rsidRPr="00637066" w:rsidRDefault="00FD2899" w:rsidP="00FD2899">
      <w:pPr>
        <w:spacing w:after="0" w:line="240" w:lineRule="auto"/>
        <w:jc w:val="center"/>
        <w:rPr>
          <w:rFonts w:eastAsia="Times New Roman" w:cstheme="minorHAnsi"/>
          <w:color w:val="1A1A1A"/>
          <w:sz w:val="24"/>
          <w:szCs w:val="24"/>
        </w:rPr>
      </w:pPr>
      <w:r w:rsidRPr="00637066">
        <w:rPr>
          <w:rFonts w:eastAsia="Times New Roman" w:cstheme="minorHAnsi"/>
          <w:color w:val="1A1A1A"/>
          <w:sz w:val="24"/>
          <w:szCs w:val="24"/>
        </w:rPr>
        <w:t xml:space="preserve">Participants shared the following resources during the four week GEAR Group process in August 2019. </w:t>
      </w:r>
    </w:p>
    <w:p w14:paraId="19497A1E" w14:textId="34CFDD16" w:rsidR="00FB1B5C" w:rsidRPr="00637066" w:rsidRDefault="00FB1B5C" w:rsidP="00564F92">
      <w:pPr>
        <w:spacing w:after="0" w:line="240" w:lineRule="auto"/>
        <w:jc w:val="center"/>
        <w:rPr>
          <w:rFonts w:cstheme="minorHAnsi"/>
          <w:sz w:val="24"/>
          <w:szCs w:val="24"/>
        </w:rPr>
      </w:pPr>
    </w:p>
    <w:p w14:paraId="435EE67C" w14:textId="5B4AA577" w:rsidR="005E65C4" w:rsidRPr="00637066" w:rsidRDefault="00842CF7" w:rsidP="00564F92">
      <w:pPr>
        <w:spacing w:after="0" w:line="240" w:lineRule="auto"/>
        <w:rPr>
          <w:rFonts w:cstheme="minorHAnsi"/>
          <w:b/>
          <w:bCs/>
          <w:sz w:val="24"/>
          <w:szCs w:val="24"/>
          <w:u w:val="single"/>
        </w:rPr>
      </w:pPr>
      <w:r w:rsidRPr="00637066">
        <w:rPr>
          <w:rFonts w:cstheme="minorHAnsi"/>
          <w:b/>
          <w:bCs/>
          <w:sz w:val="24"/>
          <w:szCs w:val="24"/>
          <w:u w:val="single"/>
        </w:rPr>
        <w:t>Preschool and Early Childcare</w:t>
      </w:r>
    </w:p>
    <w:p w14:paraId="571D91D9" w14:textId="56947AF2" w:rsidR="009B2644" w:rsidRPr="00157AEB" w:rsidRDefault="0018180B" w:rsidP="00157AEB">
      <w:pPr>
        <w:pStyle w:val="ListParagraph"/>
        <w:numPr>
          <w:ilvl w:val="0"/>
          <w:numId w:val="20"/>
        </w:numPr>
        <w:spacing w:after="0" w:line="240" w:lineRule="auto"/>
        <w:ind w:left="720"/>
        <w:rPr>
          <w:rFonts w:cstheme="minorHAnsi"/>
          <w:sz w:val="24"/>
          <w:szCs w:val="24"/>
        </w:rPr>
      </w:pPr>
      <w:hyperlink r:id="rId13" w:history="1">
        <w:r w:rsidR="009B2644" w:rsidRPr="00157AEB">
          <w:rPr>
            <w:rStyle w:val="Hyperlink"/>
            <w:rFonts w:cstheme="minorHAnsi"/>
            <w:sz w:val="24"/>
            <w:szCs w:val="24"/>
          </w:rPr>
          <w:t>Colorado One Step Early Care and Education Training</w:t>
        </w:r>
        <w:r w:rsidR="00E6454F" w:rsidRPr="00157AEB">
          <w:rPr>
            <w:rStyle w:val="Hyperlink"/>
            <w:rFonts w:cstheme="minorHAnsi"/>
            <w:sz w:val="24"/>
            <w:szCs w:val="24"/>
          </w:rPr>
          <w:t>.</w:t>
        </w:r>
      </w:hyperlink>
      <w:r w:rsidR="009B2644" w:rsidRPr="00157AEB">
        <w:rPr>
          <w:rFonts w:cstheme="minorHAnsi"/>
          <w:sz w:val="24"/>
          <w:szCs w:val="24"/>
        </w:rPr>
        <w:t xml:space="preserve"> ONE Step training educates Early Ch</w:t>
      </w:r>
      <w:bookmarkStart w:id="0" w:name="_GoBack"/>
      <w:bookmarkEnd w:id="0"/>
      <w:r w:rsidR="009B2644" w:rsidRPr="00157AEB">
        <w:rPr>
          <w:rFonts w:cstheme="minorHAnsi"/>
          <w:sz w:val="24"/>
          <w:szCs w:val="24"/>
        </w:rPr>
        <w:t>ildhood Educators (ECEs) and organizations serving low-income parents about the harms and common misconceptions of environmental aerosols from electronic smoking devices, tobacco, and marijuana smoke, and the basics of asthma management, asthma triggers and ways to reduce asthma triggers.  </w:t>
      </w:r>
    </w:p>
    <w:p w14:paraId="727E4D32" w14:textId="330DE15E" w:rsidR="002547FC" w:rsidRPr="00637066" w:rsidRDefault="0018180B" w:rsidP="00811E50">
      <w:pPr>
        <w:pStyle w:val="ListParagraph"/>
        <w:numPr>
          <w:ilvl w:val="0"/>
          <w:numId w:val="20"/>
        </w:numPr>
        <w:spacing w:after="0" w:line="240" w:lineRule="auto"/>
        <w:ind w:left="720"/>
        <w:contextualSpacing w:val="0"/>
        <w:rPr>
          <w:rFonts w:eastAsia="Times New Roman" w:cstheme="minorHAnsi"/>
          <w:sz w:val="24"/>
          <w:szCs w:val="24"/>
        </w:rPr>
      </w:pPr>
      <w:hyperlink r:id="rId14" w:history="1">
        <w:r w:rsidR="002547FC" w:rsidRPr="00637066">
          <w:rPr>
            <w:rStyle w:val="Hyperlink"/>
            <w:rFonts w:eastAsia="Times New Roman" w:cstheme="minorHAnsi"/>
            <w:sz w:val="24"/>
            <w:szCs w:val="24"/>
          </w:rPr>
          <w:t>State Quality Rating and Improvement Systems</w:t>
        </w:r>
        <w:r w:rsidR="00620AD4" w:rsidRPr="00637066">
          <w:rPr>
            <w:rStyle w:val="Hyperlink"/>
            <w:rFonts w:eastAsia="Times New Roman" w:cstheme="minorHAnsi"/>
            <w:sz w:val="24"/>
            <w:szCs w:val="24"/>
          </w:rPr>
          <w:t>.</w:t>
        </w:r>
      </w:hyperlink>
      <w:r w:rsidR="002547FC" w:rsidRPr="00637066">
        <w:rPr>
          <w:rFonts w:eastAsia="Times New Roman" w:cstheme="minorHAnsi"/>
          <w:sz w:val="24"/>
          <w:szCs w:val="24"/>
        </w:rPr>
        <w:t xml:space="preserve"> </w:t>
      </w:r>
      <w:r w:rsidR="001B3580" w:rsidRPr="00637066">
        <w:rPr>
          <w:rFonts w:eastAsia="Times New Roman" w:cstheme="minorHAnsi"/>
          <w:sz w:val="24"/>
          <w:szCs w:val="24"/>
        </w:rPr>
        <w:t xml:space="preserve">Strategies to Support Healthy Eating and Physical Activity Practices in Early Care and Education Settings </w:t>
      </w:r>
      <w:r w:rsidR="002547FC" w:rsidRPr="00637066">
        <w:rPr>
          <w:rFonts w:eastAsia="Times New Roman" w:cstheme="minorHAnsi"/>
          <w:sz w:val="24"/>
          <w:szCs w:val="24"/>
        </w:rPr>
        <w:t xml:space="preserve">(2016 report by Nemours).  </w:t>
      </w:r>
    </w:p>
    <w:p w14:paraId="4B577D0A" w14:textId="77777777" w:rsidR="00F80090" w:rsidRPr="00637066" w:rsidRDefault="00F80090" w:rsidP="00564F92">
      <w:pPr>
        <w:spacing w:after="0" w:line="240" w:lineRule="auto"/>
        <w:rPr>
          <w:rFonts w:eastAsia="Times New Roman" w:cstheme="minorHAnsi"/>
          <w:color w:val="000000"/>
          <w:sz w:val="24"/>
          <w:szCs w:val="24"/>
        </w:rPr>
      </w:pPr>
    </w:p>
    <w:p w14:paraId="00944A7C" w14:textId="2CA0ECE6" w:rsidR="00F80090" w:rsidRPr="00637066" w:rsidRDefault="00842CF7" w:rsidP="00564F92">
      <w:pPr>
        <w:spacing w:after="0" w:line="240" w:lineRule="auto"/>
        <w:rPr>
          <w:rFonts w:eastAsia="Times New Roman" w:cstheme="minorHAnsi"/>
          <w:b/>
          <w:bCs/>
          <w:color w:val="000000"/>
          <w:sz w:val="24"/>
          <w:szCs w:val="24"/>
          <w:u w:val="single"/>
        </w:rPr>
      </w:pPr>
      <w:r w:rsidRPr="00637066">
        <w:rPr>
          <w:rFonts w:eastAsia="Times New Roman" w:cstheme="minorHAnsi"/>
          <w:b/>
          <w:bCs/>
          <w:color w:val="000000"/>
          <w:sz w:val="24"/>
          <w:szCs w:val="24"/>
          <w:u w:val="single"/>
        </w:rPr>
        <w:t>Children and Youth</w:t>
      </w:r>
    </w:p>
    <w:p w14:paraId="53FA2ABF" w14:textId="34ACF245" w:rsidR="00F80090" w:rsidRPr="00811E50" w:rsidRDefault="00F80090" w:rsidP="00157AEB">
      <w:pPr>
        <w:pStyle w:val="ListParagraph"/>
        <w:numPr>
          <w:ilvl w:val="0"/>
          <w:numId w:val="22"/>
        </w:numPr>
        <w:spacing w:after="0" w:line="240" w:lineRule="auto"/>
        <w:rPr>
          <w:rFonts w:cstheme="minorHAnsi"/>
          <w:color w:val="000000"/>
          <w:sz w:val="24"/>
          <w:szCs w:val="24"/>
        </w:rPr>
      </w:pPr>
      <w:r w:rsidRPr="00811E50">
        <w:rPr>
          <w:rFonts w:cstheme="minorHAnsi"/>
          <w:color w:val="000000"/>
          <w:sz w:val="24"/>
          <w:szCs w:val="24"/>
        </w:rPr>
        <w:t xml:space="preserve">Alliance for a Healthier Generation, Healthy Schools Campaign, Mental Health America, and Trust for America’s Health. (2018). </w:t>
      </w:r>
      <w:hyperlink r:id="rId15" w:history="1">
        <w:r w:rsidRPr="00811E50">
          <w:rPr>
            <w:rStyle w:val="Hyperlink"/>
            <w:rFonts w:cstheme="minorHAnsi"/>
            <w:sz w:val="24"/>
            <w:szCs w:val="24"/>
          </w:rPr>
          <w:t>Addressing Mental Health and Wellbeing through ESSA Implementation.</w:t>
        </w:r>
      </w:hyperlink>
      <w:r w:rsidRPr="00811E50">
        <w:rPr>
          <w:rFonts w:cstheme="minorHAnsi"/>
          <w:color w:val="000000"/>
          <w:sz w:val="24"/>
          <w:szCs w:val="24"/>
        </w:rPr>
        <w:t xml:space="preserve"> </w:t>
      </w:r>
    </w:p>
    <w:p w14:paraId="63937E72" w14:textId="3F46C7F7" w:rsidR="00C70A0A" w:rsidRPr="00811E50" w:rsidRDefault="00F80090" w:rsidP="00157AEB">
      <w:pPr>
        <w:pStyle w:val="ListParagraph"/>
        <w:numPr>
          <w:ilvl w:val="0"/>
          <w:numId w:val="22"/>
        </w:numPr>
        <w:spacing w:after="0" w:line="240" w:lineRule="auto"/>
        <w:rPr>
          <w:rFonts w:eastAsia="Times New Roman" w:cstheme="minorHAnsi"/>
          <w:sz w:val="24"/>
          <w:szCs w:val="24"/>
        </w:rPr>
      </w:pPr>
      <w:r w:rsidRPr="00811E50">
        <w:rPr>
          <w:rFonts w:cstheme="minorHAnsi"/>
          <w:color w:val="000000"/>
          <w:sz w:val="24"/>
          <w:szCs w:val="24"/>
        </w:rPr>
        <w:t xml:space="preserve">Alliance for a Healthier Generation and Healthy Schools Campaign. (2018). </w:t>
      </w:r>
      <w:hyperlink r:id="rId16" w:history="1">
        <w:r w:rsidRPr="00811E50">
          <w:rPr>
            <w:rStyle w:val="Hyperlink"/>
            <w:rFonts w:cstheme="minorHAnsi"/>
            <w:sz w:val="24"/>
            <w:szCs w:val="24"/>
          </w:rPr>
          <w:t>Using Needs Assessments to Connect Learning and Health: Opportunities in the Every Student Succeeds Act (ESSA).</w:t>
        </w:r>
      </w:hyperlink>
    </w:p>
    <w:p w14:paraId="083F3C56" w14:textId="77777777" w:rsidR="00842CF7" w:rsidRPr="00811E50" w:rsidRDefault="00842CF7" w:rsidP="00157AEB">
      <w:pPr>
        <w:pStyle w:val="ListParagraph"/>
        <w:numPr>
          <w:ilvl w:val="0"/>
          <w:numId w:val="22"/>
        </w:numPr>
        <w:spacing w:after="0" w:line="240" w:lineRule="auto"/>
        <w:rPr>
          <w:rFonts w:cstheme="minorHAnsi"/>
          <w:color w:val="000000"/>
          <w:sz w:val="24"/>
          <w:szCs w:val="24"/>
        </w:rPr>
      </w:pPr>
      <w:r w:rsidRPr="00811E50">
        <w:rPr>
          <w:rFonts w:eastAsia="Times New Roman" w:cstheme="minorHAnsi"/>
          <w:color w:val="000000"/>
          <w:sz w:val="24"/>
          <w:szCs w:val="24"/>
        </w:rPr>
        <w:t>Council of Chief State School Officers and Education Counsel</w:t>
      </w:r>
      <w:r w:rsidRPr="00811E50">
        <w:rPr>
          <w:rFonts w:cstheme="minorHAnsi"/>
          <w:color w:val="000000"/>
          <w:sz w:val="24"/>
          <w:szCs w:val="24"/>
        </w:rPr>
        <w:t xml:space="preserve">: </w:t>
      </w:r>
      <w:hyperlink r:id="rId17" w:history="1">
        <w:r w:rsidRPr="00811E50">
          <w:rPr>
            <w:rStyle w:val="Hyperlink"/>
            <w:rFonts w:cstheme="minorHAnsi"/>
            <w:sz w:val="24"/>
            <w:szCs w:val="24"/>
          </w:rPr>
          <w:t>State specific information around planning and implementation of the federal Every Student Succeeds Act</w:t>
        </w:r>
      </w:hyperlink>
      <w:r w:rsidRPr="00811E50">
        <w:rPr>
          <w:rFonts w:cstheme="minorHAnsi"/>
          <w:color w:val="000000"/>
          <w:sz w:val="24"/>
          <w:szCs w:val="24"/>
        </w:rPr>
        <w:t xml:space="preserve">     </w:t>
      </w:r>
    </w:p>
    <w:p w14:paraId="47745A58" w14:textId="77777777" w:rsidR="0077368A" w:rsidRPr="00811E50" w:rsidRDefault="0077368A" w:rsidP="00157AEB">
      <w:pPr>
        <w:pStyle w:val="ListParagraph"/>
        <w:numPr>
          <w:ilvl w:val="0"/>
          <w:numId w:val="22"/>
        </w:numPr>
        <w:spacing w:after="0" w:line="240" w:lineRule="auto"/>
        <w:rPr>
          <w:rStyle w:val="Hyperlink"/>
          <w:rFonts w:cstheme="minorHAnsi"/>
          <w:color w:val="auto"/>
          <w:sz w:val="24"/>
          <w:szCs w:val="24"/>
          <w:u w:val="none"/>
        </w:rPr>
      </w:pPr>
      <w:r w:rsidRPr="00811E50">
        <w:rPr>
          <w:rStyle w:val="Hyperlink"/>
          <w:rFonts w:cstheme="minorHAnsi"/>
          <w:color w:val="000000" w:themeColor="text1"/>
          <w:sz w:val="24"/>
          <w:szCs w:val="24"/>
          <w:u w:val="none"/>
        </w:rPr>
        <w:lastRenderedPageBreak/>
        <w:t xml:space="preserve">NACDD Whole School, Whole Community, Whole Child (WSCC) publications and related resources (particularly for case presentations to date): </w:t>
      </w:r>
    </w:p>
    <w:p w14:paraId="55BABF7A" w14:textId="77777777" w:rsidR="0077368A" w:rsidRPr="00637066" w:rsidRDefault="0018180B" w:rsidP="00564F92">
      <w:pPr>
        <w:pStyle w:val="ListParagraph"/>
        <w:numPr>
          <w:ilvl w:val="1"/>
          <w:numId w:val="4"/>
        </w:numPr>
        <w:spacing w:after="0" w:line="240" w:lineRule="auto"/>
        <w:rPr>
          <w:rStyle w:val="Hyperlink"/>
          <w:rFonts w:cstheme="minorHAnsi"/>
          <w:color w:val="auto"/>
          <w:sz w:val="24"/>
          <w:szCs w:val="24"/>
          <w:u w:val="none"/>
        </w:rPr>
      </w:pPr>
      <w:hyperlink r:id="rId18" w:history="1">
        <w:r w:rsidR="0077368A" w:rsidRPr="00637066">
          <w:rPr>
            <w:rStyle w:val="Hyperlink"/>
            <w:rFonts w:cstheme="minorHAnsi"/>
            <w:sz w:val="24"/>
            <w:szCs w:val="24"/>
          </w:rPr>
          <w:t>WSCC Implementation Guide</w:t>
        </w:r>
      </w:hyperlink>
      <w:r w:rsidR="0077368A" w:rsidRPr="00637066">
        <w:rPr>
          <w:rStyle w:val="Hyperlink"/>
          <w:rFonts w:cstheme="minorHAnsi"/>
          <w:color w:val="000000" w:themeColor="text1"/>
          <w:sz w:val="24"/>
          <w:szCs w:val="24"/>
          <w:u w:val="none"/>
        </w:rPr>
        <w:t xml:space="preserve"> </w:t>
      </w:r>
    </w:p>
    <w:p w14:paraId="78509F88" w14:textId="77777777" w:rsidR="0077368A" w:rsidRPr="00637066" w:rsidRDefault="0018180B" w:rsidP="00564F92">
      <w:pPr>
        <w:pStyle w:val="ListParagraph"/>
        <w:numPr>
          <w:ilvl w:val="1"/>
          <w:numId w:val="4"/>
        </w:numPr>
        <w:spacing w:after="0" w:line="240" w:lineRule="auto"/>
        <w:rPr>
          <w:rStyle w:val="Hyperlink"/>
          <w:rFonts w:cstheme="minorHAnsi"/>
          <w:color w:val="000000" w:themeColor="text1"/>
          <w:sz w:val="24"/>
          <w:szCs w:val="24"/>
          <w:u w:val="none"/>
        </w:rPr>
      </w:pPr>
      <w:hyperlink r:id="rId19" w:history="1">
        <w:r w:rsidR="0077368A" w:rsidRPr="00637066">
          <w:rPr>
            <w:rStyle w:val="Hyperlink"/>
            <w:rFonts w:cstheme="minorHAnsi"/>
            <w:sz w:val="24"/>
            <w:szCs w:val="24"/>
          </w:rPr>
          <w:t>WSCC PowerPoint presentation</w:t>
        </w:r>
      </w:hyperlink>
      <w:r w:rsidR="0077368A" w:rsidRPr="00637066">
        <w:rPr>
          <w:rStyle w:val="Hyperlink"/>
          <w:rFonts w:cstheme="minorHAnsi"/>
          <w:color w:val="000000" w:themeColor="text1"/>
          <w:sz w:val="24"/>
          <w:szCs w:val="24"/>
          <w:u w:val="none"/>
        </w:rPr>
        <w:t xml:space="preserve">, see publications page </w:t>
      </w:r>
    </w:p>
    <w:p w14:paraId="48051A0B" w14:textId="77777777" w:rsidR="0077368A" w:rsidRPr="00637066" w:rsidRDefault="0018180B" w:rsidP="00564F92">
      <w:pPr>
        <w:pStyle w:val="ListParagraph"/>
        <w:numPr>
          <w:ilvl w:val="1"/>
          <w:numId w:val="4"/>
        </w:numPr>
        <w:spacing w:after="0" w:line="240" w:lineRule="auto"/>
        <w:rPr>
          <w:rStyle w:val="Hyperlink"/>
          <w:rFonts w:cstheme="minorHAnsi"/>
          <w:color w:val="000000" w:themeColor="text1"/>
          <w:sz w:val="24"/>
          <w:szCs w:val="24"/>
          <w:u w:val="none"/>
        </w:rPr>
      </w:pPr>
      <w:hyperlink r:id="rId20" w:history="1">
        <w:r w:rsidR="0077368A" w:rsidRPr="00637066">
          <w:rPr>
            <w:rStyle w:val="Hyperlink"/>
            <w:rFonts w:cstheme="minorHAnsi"/>
            <w:sz w:val="24"/>
            <w:szCs w:val="24"/>
          </w:rPr>
          <w:t>WSCC spotlight stories</w:t>
        </w:r>
      </w:hyperlink>
      <w:r w:rsidR="0077368A" w:rsidRPr="00637066">
        <w:rPr>
          <w:rStyle w:val="Hyperlink"/>
          <w:rFonts w:cstheme="minorHAnsi"/>
          <w:color w:val="000000" w:themeColor="text1"/>
          <w:sz w:val="24"/>
          <w:szCs w:val="24"/>
          <w:u w:val="none"/>
        </w:rPr>
        <w:t xml:space="preserve">, see publications page </w:t>
      </w:r>
    </w:p>
    <w:p w14:paraId="06C4F8BB" w14:textId="77777777" w:rsidR="0077368A" w:rsidRPr="00637066" w:rsidRDefault="0018180B" w:rsidP="00564F92">
      <w:pPr>
        <w:pStyle w:val="ListParagraph"/>
        <w:numPr>
          <w:ilvl w:val="1"/>
          <w:numId w:val="4"/>
        </w:numPr>
        <w:spacing w:after="0" w:line="240" w:lineRule="auto"/>
        <w:rPr>
          <w:rFonts w:cstheme="minorHAnsi"/>
          <w:color w:val="000000" w:themeColor="text1"/>
          <w:sz w:val="24"/>
          <w:szCs w:val="24"/>
        </w:rPr>
      </w:pPr>
      <w:hyperlink r:id="rId21" w:history="1">
        <w:r w:rsidR="0077368A" w:rsidRPr="00637066">
          <w:rPr>
            <w:rStyle w:val="Hyperlink"/>
            <w:rFonts w:cstheme="minorHAnsi"/>
            <w:sz w:val="24"/>
            <w:szCs w:val="24"/>
          </w:rPr>
          <w:t>WSCC webinars</w:t>
        </w:r>
      </w:hyperlink>
      <w:r w:rsidR="0077368A" w:rsidRPr="00637066">
        <w:rPr>
          <w:rStyle w:val="Hyperlink"/>
          <w:rFonts w:cstheme="minorHAnsi"/>
          <w:color w:val="000000" w:themeColor="text1"/>
          <w:sz w:val="24"/>
          <w:szCs w:val="24"/>
          <w:u w:val="none"/>
        </w:rPr>
        <w:t xml:space="preserve"> </w:t>
      </w:r>
    </w:p>
    <w:p w14:paraId="4D86E484" w14:textId="77777777" w:rsidR="0077368A" w:rsidRPr="00637066" w:rsidRDefault="0077368A" w:rsidP="00564F92">
      <w:pPr>
        <w:pStyle w:val="ListParagraph"/>
        <w:numPr>
          <w:ilvl w:val="1"/>
          <w:numId w:val="4"/>
        </w:numPr>
        <w:spacing w:after="0" w:line="240" w:lineRule="auto"/>
        <w:rPr>
          <w:rFonts w:cstheme="minorHAnsi"/>
          <w:color w:val="000000" w:themeColor="text1"/>
          <w:sz w:val="24"/>
          <w:szCs w:val="24"/>
        </w:rPr>
      </w:pPr>
      <w:r w:rsidRPr="00637066">
        <w:rPr>
          <w:rFonts w:cstheme="minorHAnsi"/>
          <w:color w:val="000000" w:themeColor="text1"/>
          <w:sz w:val="24"/>
          <w:szCs w:val="24"/>
        </w:rPr>
        <w:t xml:space="preserve">WSCC potential partners to engage at </w:t>
      </w:r>
      <w:hyperlink r:id="rId22" w:history="1">
        <w:r w:rsidRPr="00637066">
          <w:rPr>
            <w:rStyle w:val="Hyperlink"/>
            <w:rFonts w:cstheme="minorHAnsi"/>
            <w:sz w:val="24"/>
            <w:szCs w:val="24"/>
          </w:rPr>
          <w:t>state</w:t>
        </w:r>
      </w:hyperlink>
      <w:r w:rsidRPr="00637066">
        <w:rPr>
          <w:rFonts w:cstheme="minorHAnsi"/>
          <w:color w:val="000000" w:themeColor="text1"/>
          <w:sz w:val="24"/>
          <w:szCs w:val="24"/>
        </w:rPr>
        <w:t xml:space="preserve"> and </w:t>
      </w:r>
      <w:hyperlink r:id="rId23" w:history="1">
        <w:r w:rsidRPr="00637066">
          <w:rPr>
            <w:rStyle w:val="Hyperlink"/>
            <w:rFonts w:cstheme="minorHAnsi"/>
            <w:sz w:val="24"/>
            <w:szCs w:val="24"/>
          </w:rPr>
          <w:t>local</w:t>
        </w:r>
      </w:hyperlink>
      <w:r w:rsidRPr="00637066">
        <w:rPr>
          <w:rFonts w:cstheme="minorHAnsi"/>
          <w:color w:val="000000" w:themeColor="text1"/>
          <w:sz w:val="24"/>
          <w:szCs w:val="24"/>
        </w:rPr>
        <w:t xml:space="preserve"> levels</w:t>
      </w:r>
      <w:r w:rsidRPr="00637066">
        <w:rPr>
          <w:rFonts w:cstheme="minorHAnsi"/>
          <w:sz w:val="24"/>
          <w:szCs w:val="24"/>
        </w:rPr>
        <w:t xml:space="preserve"> </w:t>
      </w:r>
    </w:p>
    <w:p w14:paraId="4AF979D7" w14:textId="77777777" w:rsidR="0077368A" w:rsidRPr="00637066" w:rsidRDefault="0018180B" w:rsidP="00564F92">
      <w:pPr>
        <w:pStyle w:val="ListParagraph"/>
        <w:numPr>
          <w:ilvl w:val="1"/>
          <w:numId w:val="4"/>
        </w:numPr>
        <w:spacing w:after="0" w:line="240" w:lineRule="auto"/>
        <w:rPr>
          <w:rFonts w:cstheme="minorHAnsi"/>
          <w:color w:val="000000" w:themeColor="text1"/>
          <w:sz w:val="24"/>
          <w:szCs w:val="24"/>
        </w:rPr>
      </w:pPr>
      <w:hyperlink r:id="rId24" w:history="1">
        <w:r w:rsidR="0077368A" w:rsidRPr="00637066">
          <w:rPr>
            <w:rStyle w:val="Hyperlink"/>
            <w:rFonts w:cstheme="minorHAnsi"/>
            <w:sz w:val="24"/>
            <w:szCs w:val="24"/>
          </w:rPr>
          <w:t>WSCC videos</w:t>
        </w:r>
      </w:hyperlink>
      <w:r w:rsidR="0077368A" w:rsidRPr="00637066">
        <w:rPr>
          <w:rFonts w:cstheme="minorHAnsi"/>
          <w:color w:val="000000" w:themeColor="text1"/>
          <w:sz w:val="24"/>
          <w:szCs w:val="24"/>
        </w:rPr>
        <w:t xml:space="preserve">, featuring high-needs districts focusing on three themes 1) administrator support and commitment for WSCC approach; 2) ease of WSCC implementation; and 3) WSCC benefits and impact on student learning and health </w:t>
      </w:r>
    </w:p>
    <w:p w14:paraId="2A261B7C" w14:textId="77777777" w:rsidR="00842CF7" w:rsidRPr="00157AEB" w:rsidRDefault="00842CF7" w:rsidP="00157AEB">
      <w:pPr>
        <w:pStyle w:val="ListParagraph"/>
        <w:numPr>
          <w:ilvl w:val="0"/>
          <w:numId w:val="4"/>
        </w:numPr>
        <w:spacing w:after="0" w:line="240" w:lineRule="auto"/>
        <w:rPr>
          <w:rFonts w:eastAsia="Times New Roman" w:cstheme="minorHAnsi"/>
          <w:color w:val="000000"/>
          <w:sz w:val="24"/>
          <w:szCs w:val="24"/>
        </w:rPr>
      </w:pPr>
      <w:r w:rsidRPr="00157AEB">
        <w:rPr>
          <w:rFonts w:eastAsia="Times New Roman" w:cstheme="minorHAnsi"/>
          <w:color w:val="000000"/>
          <w:sz w:val="24"/>
          <w:szCs w:val="24"/>
        </w:rPr>
        <w:t xml:space="preserve">Social and emotional learning resources:  </w:t>
      </w:r>
    </w:p>
    <w:p w14:paraId="12F93FFD" w14:textId="77777777" w:rsidR="00842CF7" w:rsidRPr="00637066" w:rsidRDefault="00842CF7" w:rsidP="00564F92">
      <w:pPr>
        <w:numPr>
          <w:ilvl w:val="1"/>
          <w:numId w:val="7"/>
        </w:numPr>
        <w:spacing w:after="0" w:line="240" w:lineRule="auto"/>
        <w:rPr>
          <w:rFonts w:eastAsia="Times New Roman" w:cstheme="minorHAnsi"/>
          <w:color w:val="000000"/>
          <w:sz w:val="24"/>
          <w:szCs w:val="24"/>
        </w:rPr>
      </w:pPr>
      <w:r w:rsidRPr="00637066">
        <w:rPr>
          <w:rFonts w:eastAsia="Times New Roman" w:cstheme="minorHAnsi"/>
          <w:color w:val="000000"/>
          <w:sz w:val="24"/>
          <w:szCs w:val="24"/>
        </w:rPr>
        <w:t xml:space="preserve">The Aspen Institute National Commission on Social, Emotional, and Academic Development. (2019). </w:t>
      </w:r>
      <w:hyperlink r:id="rId25" w:history="1">
        <w:r w:rsidRPr="00637066">
          <w:rPr>
            <w:rStyle w:val="Hyperlink"/>
            <w:rFonts w:eastAsia="Times New Roman" w:cstheme="minorHAnsi"/>
            <w:sz w:val="24"/>
            <w:szCs w:val="24"/>
          </w:rPr>
          <w:t>From a Nation at Risk to a Nation at Hope: Recommendations from the National Commission on Social, Emotional, and Academic Development</w:t>
        </w:r>
      </w:hyperlink>
      <w:r w:rsidRPr="00637066">
        <w:rPr>
          <w:rFonts w:eastAsia="Times New Roman" w:cstheme="minorHAnsi"/>
          <w:color w:val="000000"/>
          <w:sz w:val="24"/>
          <w:szCs w:val="24"/>
        </w:rPr>
        <w:t xml:space="preserve"> (</w:t>
      </w:r>
      <w:r w:rsidRPr="00637066">
        <w:rPr>
          <w:rFonts w:eastAsia="Times New Roman" w:cstheme="minorHAnsi"/>
          <w:i/>
          <w:iCs/>
          <w:color w:val="000000"/>
          <w:sz w:val="24"/>
          <w:szCs w:val="24"/>
        </w:rPr>
        <w:t>see Recommendations and Executive Summary</w:t>
      </w:r>
      <w:r w:rsidRPr="00637066">
        <w:rPr>
          <w:rFonts w:eastAsia="Times New Roman" w:cstheme="minorHAnsi"/>
          <w:color w:val="000000"/>
          <w:sz w:val="24"/>
          <w:szCs w:val="24"/>
        </w:rPr>
        <w:t xml:space="preserve">). </w:t>
      </w:r>
    </w:p>
    <w:p w14:paraId="7F187B83" w14:textId="77777777" w:rsidR="00842CF7" w:rsidRPr="00637066" w:rsidRDefault="00842CF7" w:rsidP="00564F92">
      <w:pPr>
        <w:numPr>
          <w:ilvl w:val="1"/>
          <w:numId w:val="7"/>
        </w:numPr>
        <w:spacing w:after="0" w:line="240" w:lineRule="auto"/>
        <w:rPr>
          <w:rFonts w:eastAsia="Times New Roman" w:cstheme="minorHAnsi"/>
          <w:color w:val="000000"/>
          <w:sz w:val="24"/>
          <w:szCs w:val="24"/>
        </w:rPr>
      </w:pPr>
      <w:r w:rsidRPr="00637066">
        <w:rPr>
          <w:rFonts w:eastAsia="Times New Roman" w:cstheme="minorHAnsi"/>
          <w:color w:val="000000"/>
          <w:sz w:val="24"/>
          <w:szCs w:val="24"/>
        </w:rPr>
        <w:t xml:space="preserve">Council of Chief State School Officers and Education Counsel. (2019). </w:t>
      </w:r>
      <w:hyperlink r:id="rId26" w:history="1">
        <w:r w:rsidRPr="00637066">
          <w:rPr>
            <w:rStyle w:val="Hyperlink"/>
            <w:rFonts w:eastAsia="Times New Roman" w:cstheme="minorHAnsi"/>
            <w:sz w:val="24"/>
            <w:szCs w:val="24"/>
          </w:rPr>
          <w:t>Measuring School Climate and Social and Emotional Learning and Development</w:t>
        </w:r>
      </w:hyperlink>
      <w:r w:rsidRPr="00637066">
        <w:rPr>
          <w:rFonts w:eastAsia="Times New Roman" w:cstheme="minorHAnsi"/>
          <w:color w:val="000000"/>
          <w:sz w:val="24"/>
          <w:szCs w:val="24"/>
        </w:rPr>
        <w:t xml:space="preserve">. </w:t>
      </w:r>
    </w:p>
    <w:p w14:paraId="6947500A" w14:textId="252DD1F7" w:rsidR="00842CF7" w:rsidRPr="00637066" w:rsidRDefault="00842CF7" w:rsidP="00564F92">
      <w:pPr>
        <w:numPr>
          <w:ilvl w:val="0"/>
          <w:numId w:val="7"/>
        </w:numPr>
        <w:spacing w:after="0" w:line="240" w:lineRule="auto"/>
        <w:rPr>
          <w:rFonts w:eastAsia="Times New Roman" w:cstheme="minorHAnsi"/>
          <w:color w:val="000000"/>
          <w:sz w:val="24"/>
          <w:szCs w:val="24"/>
        </w:rPr>
      </w:pPr>
      <w:proofErr w:type="spellStart"/>
      <w:r w:rsidRPr="00637066">
        <w:rPr>
          <w:rFonts w:cstheme="minorHAnsi"/>
          <w:sz w:val="24"/>
          <w:szCs w:val="24"/>
        </w:rPr>
        <w:t>FutureEd</w:t>
      </w:r>
      <w:proofErr w:type="spellEnd"/>
      <w:r w:rsidRPr="00637066">
        <w:rPr>
          <w:rFonts w:cstheme="minorHAnsi"/>
          <w:sz w:val="24"/>
          <w:szCs w:val="24"/>
        </w:rPr>
        <w:t xml:space="preserve"> report on chronic absence definitions. </w:t>
      </w:r>
      <w:hyperlink r:id="rId27" w:history="1">
        <w:r w:rsidRPr="00637066">
          <w:rPr>
            <w:rStyle w:val="Hyperlink"/>
            <w:rFonts w:cstheme="minorHAnsi"/>
            <w:sz w:val="24"/>
            <w:szCs w:val="24"/>
          </w:rPr>
          <w:t>Writing the Rules: Ensuring Chronic Absenteeism Data Works for Schools and Students</w:t>
        </w:r>
      </w:hyperlink>
      <w:r w:rsidR="00620AD4" w:rsidRPr="00637066">
        <w:rPr>
          <w:rFonts w:cstheme="minorHAnsi"/>
          <w:sz w:val="24"/>
          <w:szCs w:val="24"/>
        </w:rPr>
        <w:t>.</w:t>
      </w:r>
    </w:p>
    <w:p w14:paraId="6FD68EC9" w14:textId="0F2D9651" w:rsidR="00842CF7" w:rsidRPr="00637066" w:rsidRDefault="00842CF7" w:rsidP="00564F92">
      <w:pPr>
        <w:numPr>
          <w:ilvl w:val="0"/>
          <w:numId w:val="7"/>
        </w:numPr>
        <w:spacing w:after="0" w:line="240" w:lineRule="auto"/>
        <w:rPr>
          <w:rStyle w:val="Hyperlink"/>
          <w:rFonts w:eastAsia="Times New Roman" w:cstheme="minorHAnsi"/>
          <w:color w:val="000000"/>
          <w:sz w:val="24"/>
          <w:szCs w:val="24"/>
          <w:u w:val="none"/>
        </w:rPr>
      </w:pPr>
      <w:r w:rsidRPr="00637066">
        <w:rPr>
          <w:rFonts w:cstheme="minorHAnsi"/>
          <w:sz w:val="24"/>
          <w:szCs w:val="24"/>
        </w:rPr>
        <w:t xml:space="preserve">Brief on state activity around expanding school Medicaid programs: </w:t>
      </w:r>
      <w:hyperlink r:id="rId28" w:history="1">
        <w:r w:rsidRPr="00637066">
          <w:rPr>
            <w:rStyle w:val="Hyperlink"/>
            <w:rFonts w:cstheme="minorHAnsi"/>
            <w:sz w:val="24"/>
            <w:szCs w:val="24"/>
          </w:rPr>
          <w:t>State Efforts to Implement the Free Care Policy Reversal</w:t>
        </w:r>
      </w:hyperlink>
      <w:r w:rsidR="00620AD4" w:rsidRPr="00637066">
        <w:rPr>
          <w:rFonts w:cstheme="minorHAnsi"/>
          <w:sz w:val="24"/>
          <w:szCs w:val="24"/>
        </w:rPr>
        <w:t>.</w:t>
      </w:r>
    </w:p>
    <w:p w14:paraId="51A2E0DF" w14:textId="77777777" w:rsidR="00842CF7" w:rsidRPr="00637066" w:rsidRDefault="00842CF7" w:rsidP="00564F92">
      <w:pPr>
        <w:spacing w:after="0" w:line="240" w:lineRule="auto"/>
        <w:rPr>
          <w:rFonts w:eastAsia="Times New Roman" w:cstheme="minorHAnsi"/>
          <w:sz w:val="24"/>
          <w:szCs w:val="24"/>
          <w:u w:val="single"/>
        </w:rPr>
      </w:pPr>
    </w:p>
    <w:p w14:paraId="7DD97289" w14:textId="76AFCEF1" w:rsidR="00C70A0A" w:rsidRPr="00637066" w:rsidRDefault="00F80090" w:rsidP="00564F92">
      <w:pPr>
        <w:spacing w:after="0" w:line="240" w:lineRule="auto"/>
        <w:rPr>
          <w:rFonts w:eastAsia="Times New Roman" w:cstheme="minorHAnsi"/>
          <w:b/>
          <w:bCs/>
          <w:sz w:val="24"/>
          <w:szCs w:val="24"/>
          <w:u w:val="single"/>
        </w:rPr>
      </w:pPr>
      <w:r w:rsidRPr="00637066">
        <w:rPr>
          <w:rFonts w:eastAsia="Times New Roman" w:cstheme="minorHAnsi"/>
          <w:b/>
          <w:bCs/>
          <w:sz w:val="24"/>
          <w:szCs w:val="24"/>
          <w:u w:val="single"/>
        </w:rPr>
        <w:t>College Health</w:t>
      </w:r>
    </w:p>
    <w:p w14:paraId="2FDB41D5" w14:textId="03911C68" w:rsidR="00EE3226" w:rsidRPr="00637066" w:rsidRDefault="0018180B" w:rsidP="00564F92">
      <w:pPr>
        <w:pStyle w:val="ListParagraph"/>
        <w:numPr>
          <w:ilvl w:val="0"/>
          <w:numId w:val="9"/>
        </w:numPr>
        <w:spacing w:after="0" w:line="240" w:lineRule="auto"/>
        <w:contextualSpacing w:val="0"/>
        <w:rPr>
          <w:rFonts w:eastAsia="Times New Roman" w:cstheme="minorHAnsi"/>
          <w:sz w:val="24"/>
          <w:szCs w:val="24"/>
        </w:rPr>
      </w:pPr>
      <w:hyperlink r:id="rId29" w:history="1">
        <w:r w:rsidR="00EE3226" w:rsidRPr="00637066">
          <w:rPr>
            <w:rStyle w:val="Hyperlink"/>
            <w:rFonts w:eastAsia="Times New Roman" w:cstheme="minorHAnsi"/>
            <w:sz w:val="24"/>
            <w:szCs w:val="24"/>
          </w:rPr>
          <w:t xml:space="preserve">CDC webpage for </w:t>
        </w:r>
        <w:r w:rsidR="00DE5809" w:rsidRPr="00637066">
          <w:rPr>
            <w:rStyle w:val="Hyperlink"/>
            <w:rFonts w:eastAsia="Times New Roman" w:cstheme="minorHAnsi"/>
            <w:sz w:val="24"/>
            <w:szCs w:val="24"/>
          </w:rPr>
          <w:t>C</w:t>
        </w:r>
        <w:r w:rsidR="00EE3226" w:rsidRPr="00637066">
          <w:rPr>
            <w:rStyle w:val="Hyperlink"/>
            <w:rFonts w:eastAsia="Times New Roman" w:cstheme="minorHAnsi"/>
            <w:sz w:val="24"/>
            <w:szCs w:val="24"/>
          </w:rPr>
          <w:t xml:space="preserve">ollege </w:t>
        </w:r>
        <w:r w:rsidR="00DE5809" w:rsidRPr="00637066">
          <w:rPr>
            <w:rStyle w:val="Hyperlink"/>
            <w:rFonts w:eastAsia="Times New Roman" w:cstheme="minorHAnsi"/>
            <w:sz w:val="24"/>
            <w:szCs w:val="24"/>
          </w:rPr>
          <w:t>H</w:t>
        </w:r>
        <w:r w:rsidR="00EE3226" w:rsidRPr="00637066">
          <w:rPr>
            <w:rStyle w:val="Hyperlink"/>
            <w:rFonts w:eastAsia="Times New Roman" w:cstheme="minorHAnsi"/>
            <w:sz w:val="24"/>
            <w:szCs w:val="24"/>
          </w:rPr>
          <w:t xml:space="preserve">ealth and </w:t>
        </w:r>
        <w:r w:rsidR="00DE5809" w:rsidRPr="00637066">
          <w:rPr>
            <w:rStyle w:val="Hyperlink"/>
            <w:rFonts w:eastAsia="Times New Roman" w:cstheme="minorHAnsi"/>
            <w:sz w:val="24"/>
            <w:szCs w:val="24"/>
          </w:rPr>
          <w:t>S</w:t>
        </w:r>
        <w:r w:rsidR="00EE3226" w:rsidRPr="00637066">
          <w:rPr>
            <w:rStyle w:val="Hyperlink"/>
            <w:rFonts w:eastAsia="Times New Roman" w:cstheme="minorHAnsi"/>
            <w:sz w:val="24"/>
            <w:szCs w:val="24"/>
          </w:rPr>
          <w:t>afety</w:t>
        </w:r>
      </w:hyperlink>
      <w:r w:rsidR="00345DEF" w:rsidRPr="00637066">
        <w:rPr>
          <w:rFonts w:eastAsia="Times New Roman" w:cstheme="minorHAnsi"/>
          <w:sz w:val="24"/>
          <w:szCs w:val="24"/>
        </w:rPr>
        <w:t xml:space="preserve">: </w:t>
      </w:r>
      <w:r w:rsidR="00FD7770" w:rsidRPr="00637066">
        <w:rPr>
          <w:rFonts w:eastAsia="Times New Roman" w:cstheme="minorHAnsi"/>
          <w:sz w:val="24"/>
          <w:szCs w:val="24"/>
        </w:rPr>
        <w:t>Tips and information to help you stay safe and healthy</w:t>
      </w:r>
      <w:r w:rsidR="00AC2C36" w:rsidRPr="00637066">
        <w:rPr>
          <w:rFonts w:eastAsia="Times New Roman" w:cstheme="minorHAnsi"/>
          <w:sz w:val="24"/>
          <w:szCs w:val="24"/>
        </w:rPr>
        <w:t xml:space="preserve"> </w:t>
      </w:r>
      <w:r w:rsidR="00986056" w:rsidRPr="00637066">
        <w:rPr>
          <w:rFonts w:eastAsia="Times New Roman" w:cstheme="minorHAnsi"/>
          <w:sz w:val="24"/>
          <w:szCs w:val="24"/>
        </w:rPr>
        <w:t>in college.</w:t>
      </w:r>
    </w:p>
    <w:p w14:paraId="77BD4E71" w14:textId="77777777" w:rsidR="0077368A" w:rsidRPr="00637066" w:rsidRDefault="0018180B" w:rsidP="00564F92">
      <w:pPr>
        <w:pStyle w:val="ListParagraph"/>
        <w:numPr>
          <w:ilvl w:val="0"/>
          <w:numId w:val="9"/>
        </w:numPr>
        <w:spacing w:after="0" w:line="240" w:lineRule="auto"/>
        <w:rPr>
          <w:rStyle w:val="Hyperlink"/>
          <w:rFonts w:cstheme="minorHAnsi"/>
          <w:color w:val="auto"/>
          <w:sz w:val="24"/>
          <w:szCs w:val="24"/>
          <w:u w:val="none"/>
        </w:rPr>
      </w:pPr>
      <w:hyperlink r:id="rId30" w:history="1">
        <w:r w:rsidR="0077368A" w:rsidRPr="00637066">
          <w:rPr>
            <w:rStyle w:val="Hyperlink"/>
            <w:rFonts w:cstheme="minorHAnsi"/>
            <w:sz w:val="24"/>
            <w:szCs w:val="24"/>
          </w:rPr>
          <w:t>Center for Education Policy Analysis</w:t>
        </w:r>
      </w:hyperlink>
      <w:r w:rsidR="0077368A" w:rsidRPr="00637066">
        <w:rPr>
          <w:rFonts w:cstheme="minorHAnsi"/>
          <w:sz w:val="24"/>
          <w:szCs w:val="24"/>
        </w:rPr>
        <w:t xml:space="preserve">. Research and resources including data tools about education and equity, and guidance around educational priorities from which health initiatives can align. </w:t>
      </w:r>
    </w:p>
    <w:p w14:paraId="35B06832" w14:textId="77777777" w:rsidR="00620AD4" w:rsidRPr="00637066" w:rsidRDefault="00620AD4" w:rsidP="00564F92">
      <w:pPr>
        <w:spacing w:after="0" w:line="240" w:lineRule="auto"/>
        <w:rPr>
          <w:rFonts w:cstheme="minorHAnsi"/>
          <w:color w:val="000000"/>
          <w:sz w:val="24"/>
          <w:szCs w:val="24"/>
        </w:rPr>
      </w:pPr>
    </w:p>
    <w:p w14:paraId="37A963E7" w14:textId="05E14F4F" w:rsidR="00AC641F" w:rsidRPr="00637066" w:rsidRDefault="00AC641F" w:rsidP="00564F92">
      <w:pPr>
        <w:spacing w:after="0" w:line="240" w:lineRule="auto"/>
        <w:rPr>
          <w:rFonts w:cstheme="minorHAnsi"/>
          <w:b/>
          <w:bCs/>
          <w:sz w:val="24"/>
          <w:szCs w:val="24"/>
          <w:u w:val="single"/>
        </w:rPr>
      </w:pPr>
      <w:r w:rsidRPr="00637066">
        <w:rPr>
          <w:rFonts w:cstheme="minorHAnsi"/>
          <w:b/>
          <w:bCs/>
          <w:sz w:val="24"/>
          <w:szCs w:val="24"/>
          <w:u w:val="single"/>
        </w:rPr>
        <w:t xml:space="preserve">Oral Health Resources </w:t>
      </w:r>
    </w:p>
    <w:p w14:paraId="786A5DF8" w14:textId="4F195448" w:rsidR="00AC641F" w:rsidRPr="00637066" w:rsidRDefault="00AC641F" w:rsidP="00564F92">
      <w:pPr>
        <w:pStyle w:val="ListParagraph"/>
        <w:numPr>
          <w:ilvl w:val="0"/>
          <w:numId w:val="12"/>
        </w:numPr>
        <w:spacing w:after="0" w:line="240" w:lineRule="auto"/>
        <w:contextualSpacing w:val="0"/>
        <w:rPr>
          <w:rFonts w:eastAsia="Times New Roman" w:cstheme="minorHAnsi"/>
          <w:sz w:val="24"/>
          <w:szCs w:val="24"/>
        </w:rPr>
      </w:pPr>
      <w:r w:rsidRPr="00637066">
        <w:rPr>
          <w:rFonts w:eastAsia="Times New Roman" w:cstheme="minorHAnsi"/>
          <w:sz w:val="24"/>
          <w:szCs w:val="24"/>
        </w:rPr>
        <w:t xml:space="preserve">Maternal and Child Oral Health website </w:t>
      </w:r>
      <w:hyperlink r:id="rId31" w:history="1">
        <w:r w:rsidRPr="00637066">
          <w:rPr>
            <w:rStyle w:val="Hyperlink"/>
            <w:rFonts w:eastAsia="Times New Roman" w:cstheme="minorHAnsi"/>
            <w:sz w:val="24"/>
            <w:szCs w:val="24"/>
          </w:rPr>
          <w:t xml:space="preserve">Pocket Guide </w:t>
        </w:r>
        <w:r w:rsidR="009F0910" w:rsidRPr="00637066">
          <w:rPr>
            <w:rStyle w:val="Hyperlink"/>
            <w:rFonts w:eastAsia="Times New Roman" w:cstheme="minorHAnsi"/>
            <w:sz w:val="24"/>
            <w:szCs w:val="24"/>
          </w:rPr>
          <w:t>for School Nurses</w:t>
        </w:r>
      </w:hyperlink>
      <w:r w:rsidR="009F0910" w:rsidRPr="00637066">
        <w:rPr>
          <w:rFonts w:eastAsia="Times New Roman" w:cstheme="minorHAnsi"/>
          <w:sz w:val="24"/>
          <w:szCs w:val="24"/>
        </w:rPr>
        <w:t xml:space="preserve">. </w:t>
      </w:r>
    </w:p>
    <w:p w14:paraId="644C15D5" w14:textId="3E28210D" w:rsidR="00AC641F" w:rsidRPr="00637066" w:rsidRDefault="00AC641F" w:rsidP="00564F92">
      <w:pPr>
        <w:pStyle w:val="ListParagraph"/>
        <w:numPr>
          <w:ilvl w:val="0"/>
          <w:numId w:val="12"/>
        </w:numPr>
        <w:spacing w:after="0" w:line="240" w:lineRule="auto"/>
        <w:contextualSpacing w:val="0"/>
        <w:rPr>
          <w:rFonts w:cstheme="minorHAnsi"/>
          <w:color w:val="000000"/>
          <w:sz w:val="24"/>
          <w:szCs w:val="24"/>
          <w:shd w:val="clear" w:color="auto" w:fill="FFFFFF"/>
        </w:rPr>
      </w:pPr>
      <w:r w:rsidRPr="00637066">
        <w:rPr>
          <w:rFonts w:eastAsia="Times New Roman" w:cstheme="minorHAnsi"/>
          <w:sz w:val="24"/>
          <w:szCs w:val="24"/>
        </w:rPr>
        <w:t>Key resource from Children’s Dental Health Project (2019)</w:t>
      </w:r>
      <w:r w:rsidR="00707DF0" w:rsidRPr="00637066">
        <w:rPr>
          <w:rFonts w:eastAsia="Times New Roman" w:cstheme="minorHAnsi"/>
          <w:sz w:val="24"/>
          <w:szCs w:val="24"/>
        </w:rPr>
        <w:t>.</w:t>
      </w:r>
      <w:r w:rsidRPr="00637066">
        <w:rPr>
          <w:rFonts w:eastAsia="Times New Roman" w:cstheme="minorHAnsi"/>
          <w:sz w:val="24"/>
          <w:szCs w:val="24"/>
        </w:rPr>
        <w:t xml:space="preserve"> </w:t>
      </w:r>
      <w:hyperlink r:id="rId32" w:history="1">
        <w:r w:rsidR="00707DF0" w:rsidRPr="00637066">
          <w:rPr>
            <w:rStyle w:val="Hyperlink"/>
            <w:rFonts w:eastAsia="Times New Roman" w:cstheme="minorHAnsi"/>
            <w:sz w:val="24"/>
            <w:szCs w:val="24"/>
          </w:rPr>
          <w:t>State Dental Screening Laws for Children: Examining the Trend and Impact</w:t>
        </w:r>
      </w:hyperlink>
      <w:r w:rsidR="00721461" w:rsidRPr="00637066">
        <w:rPr>
          <w:rFonts w:eastAsia="Times New Roman" w:cstheme="minorHAnsi"/>
          <w:sz w:val="24"/>
          <w:szCs w:val="24"/>
        </w:rPr>
        <w:t>.</w:t>
      </w:r>
    </w:p>
    <w:p w14:paraId="55EE87B6" w14:textId="2D701915" w:rsidR="00AC641F" w:rsidRPr="00637066" w:rsidRDefault="00AC641F" w:rsidP="00564F92">
      <w:pPr>
        <w:pStyle w:val="ListParagraph"/>
        <w:numPr>
          <w:ilvl w:val="0"/>
          <w:numId w:val="12"/>
        </w:numPr>
        <w:spacing w:after="0" w:line="240" w:lineRule="auto"/>
        <w:contextualSpacing w:val="0"/>
        <w:rPr>
          <w:rStyle w:val="Hyperlink"/>
          <w:rFonts w:eastAsia="Times New Roman" w:cstheme="minorHAnsi"/>
          <w:color w:val="auto"/>
          <w:sz w:val="24"/>
          <w:szCs w:val="24"/>
          <w:u w:val="none"/>
        </w:rPr>
      </w:pPr>
      <w:r w:rsidRPr="00637066">
        <w:rPr>
          <w:rFonts w:eastAsia="Times New Roman" w:cstheme="minorHAnsi"/>
          <w:sz w:val="24"/>
          <w:szCs w:val="24"/>
        </w:rPr>
        <w:t xml:space="preserve">Association of State &amp; Territorial Dental Directors (ASTDD), </w:t>
      </w:r>
      <w:hyperlink r:id="rId33" w:history="1">
        <w:r w:rsidRPr="00637066">
          <w:rPr>
            <w:rStyle w:val="Hyperlink"/>
            <w:rFonts w:eastAsia="Times New Roman" w:cstheme="minorHAnsi"/>
            <w:sz w:val="24"/>
            <w:szCs w:val="24"/>
          </w:rPr>
          <w:t>School and Adolescent Oral Health Committee</w:t>
        </w:r>
      </w:hyperlink>
      <w:r w:rsidR="00E14D64" w:rsidRPr="00637066">
        <w:rPr>
          <w:rFonts w:eastAsia="Times New Roman" w:cstheme="minorHAnsi"/>
          <w:sz w:val="24"/>
          <w:szCs w:val="24"/>
        </w:rPr>
        <w:t xml:space="preserve"> resources</w:t>
      </w:r>
      <w:r w:rsidRPr="00637066">
        <w:rPr>
          <w:rFonts w:eastAsia="Times New Roman" w:cstheme="minorHAnsi"/>
          <w:sz w:val="24"/>
          <w:szCs w:val="24"/>
        </w:rPr>
        <w:t>. Some resources encompass Whole School, Whole Community, Whole Child (WSCC) Model</w:t>
      </w:r>
      <w:r w:rsidR="00721461" w:rsidRPr="00637066">
        <w:rPr>
          <w:rFonts w:eastAsia="Times New Roman" w:cstheme="minorHAnsi"/>
          <w:sz w:val="24"/>
          <w:szCs w:val="24"/>
        </w:rPr>
        <w:t>.</w:t>
      </w:r>
    </w:p>
    <w:p w14:paraId="3AD92A35" w14:textId="3E0AC4AE" w:rsidR="00AC641F" w:rsidRPr="00637066" w:rsidRDefault="0018180B" w:rsidP="00564F92">
      <w:pPr>
        <w:pStyle w:val="ListParagraph"/>
        <w:numPr>
          <w:ilvl w:val="0"/>
          <w:numId w:val="12"/>
        </w:numPr>
        <w:spacing w:after="0" w:line="240" w:lineRule="auto"/>
        <w:contextualSpacing w:val="0"/>
        <w:rPr>
          <w:rStyle w:val="Hyperlink"/>
          <w:rFonts w:eastAsia="Times New Roman" w:cstheme="minorHAnsi"/>
          <w:color w:val="auto"/>
          <w:sz w:val="24"/>
          <w:szCs w:val="24"/>
          <w:u w:val="none"/>
        </w:rPr>
      </w:pPr>
      <w:hyperlink r:id="rId34" w:history="1">
        <w:r w:rsidR="00AC641F" w:rsidRPr="00637066">
          <w:rPr>
            <w:rStyle w:val="Hyperlink"/>
            <w:rFonts w:eastAsia="Times New Roman" w:cstheme="minorHAnsi"/>
            <w:sz w:val="24"/>
            <w:szCs w:val="24"/>
          </w:rPr>
          <w:t>O</w:t>
        </w:r>
        <w:r w:rsidR="00637322" w:rsidRPr="00637066">
          <w:rPr>
            <w:rStyle w:val="Hyperlink"/>
            <w:rFonts w:eastAsia="Times New Roman" w:cstheme="minorHAnsi"/>
            <w:sz w:val="24"/>
            <w:szCs w:val="24"/>
          </w:rPr>
          <w:t xml:space="preserve">hio </w:t>
        </w:r>
        <w:r w:rsidR="00AC641F" w:rsidRPr="00637066">
          <w:rPr>
            <w:rStyle w:val="Hyperlink"/>
            <w:rFonts w:eastAsia="Times New Roman" w:cstheme="minorHAnsi"/>
            <w:sz w:val="24"/>
            <w:szCs w:val="24"/>
          </w:rPr>
          <w:t>D</w:t>
        </w:r>
        <w:r w:rsidR="00637322" w:rsidRPr="00637066">
          <w:rPr>
            <w:rStyle w:val="Hyperlink"/>
            <w:rFonts w:eastAsia="Times New Roman" w:cstheme="minorHAnsi"/>
            <w:sz w:val="24"/>
            <w:szCs w:val="24"/>
          </w:rPr>
          <w:t>epartment of Health,</w:t>
        </w:r>
        <w:r w:rsidR="00AC641F" w:rsidRPr="00637066">
          <w:rPr>
            <w:rStyle w:val="Hyperlink"/>
            <w:rFonts w:eastAsia="Times New Roman" w:cstheme="minorHAnsi"/>
            <w:sz w:val="24"/>
            <w:szCs w:val="24"/>
          </w:rPr>
          <w:t xml:space="preserve"> Oral Health Screening Guidelines</w:t>
        </w:r>
      </w:hyperlink>
      <w:r w:rsidR="00637322" w:rsidRPr="00637066">
        <w:rPr>
          <w:rFonts w:eastAsia="Times New Roman" w:cstheme="minorHAnsi"/>
          <w:sz w:val="24"/>
          <w:szCs w:val="24"/>
        </w:rPr>
        <w:t xml:space="preserve"> (2018)</w:t>
      </w:r>
      <w:r w:rsidR="005C4412" w:rsidRPr="00637066">
        <w:rPr>
          <w:rFonts w:eastAsia="Times New Roman" w:cstheme="minorHAnsi"/>
          <w:sz w:val="24"/>
          <w:szCs w:val="24"/>
        </w:rPr>
        <w:t>. Provides guidance to school nurses who choose to conduct school-based oral health screening.</w:t>
      </w:r>
      <w:r w:rsidR="00AC641F" w:rsidRPr="00637066">
        <w:rPr>
          <w:rFonts w:eastAsia="Times New Roman" w:cstheme="minorHAnsi"/>
          <w:sz w:val="24"/>
          <w:szCs w:val="24"/>
        </w:rPr>
        <w:t xml:space="preserve"> </w:t>
      </w:r>
    </w:p>
    <w:p w14:paraId="38350BF8" w14:textId="5755E282" w:rsidR="00AC641F" w:rsidRPr="00637066" w:rsidRDefault="00AC641F" w:rsidP="00564F92">
      <w:pPr>
        <w:pStyle w:val="ListParagraph"/>
        <w:numPr>
          <w:ilvl w:val="0"/>
          <w:numId w:val="12"/>
        </w:numPr>
        <w:spacing w:after="0" w:line="240" w:lineRule="auto"/>
        <w:contextualSpacing w:val="0"/>
        <w:rPr>
          <w:rFonts w:eastAsia="Times New Roman" w:cstheme="minorHAnsi"/>
          <w:sz w:val="24"/>
          <w:szCs w:val="24"/>
        </w:rPr>
      </w:pPr>
      <w:r w:rsidRPr="00637066">
        <w:rPr>
          <w:rFonts w:eastAsia="Times New Roman" w:cstheme="minorHAnsi"/>
          <w:sz w:val="24"/>
          <w:szCs w:val="24"/>
        </w:rPr>
        <w:t xml:space="preserve">A few resources here highlight toothbrushing program implementation at </w:t>
      </w:r>
      <w:r w:rsidR="00D824E2" w:rsidRPr="00637066">
        <w:rPr>
          <w:rFonts w:eastAsia="Times New Roman" w:cstheme="minorHAnsi"/>
          <w:sz w:val="24"/>
          <w:szCs w:val="24"/>
        </w:rPr>
        <w:t>early childhood education (ECE)</w:t>
      </w:r>
      <w:r w:rsidRPr="00637066">
        <w:rPr>
          <w:rFonts w:eastAsia="Times New Roman" w:cstheme="minorHAnsi"/>
          <w:sz w:val="24"/>
          <w:szCs w:val="24"/>
        </w:rPr>
        <w:t xml:space="preserve"> sites</w:t>
      </w:r>
      <w:r w:rsidR="00D824E2" w:rsidRPr="00637066">
        <w:rPr>
          <w:rFonts w:eastAsia="Times New Roman" w:cstheme="minorHAnsi"/>
          <w:sz w:val="24"/>
          <w:szCs w:val="24"/>
        </w:rPr>
        <w:t xml:space="preserve">. </w:t>
      </w:r>
      <w:r w:rsidR="0012457B" w:rsidRPr="00637066">
        <w:rPr>
          <w:rFonts w:eastAsia="Times New Roman" w:cstheme="minorHAnsi"/>
          <w:sz w:val="24"/>
          <w:szCs w:val="24"/>
        </w:rPr>
        <w:t xml:space="preserve">A </w:t>
      </w:r>
      <w:hyperlink r:id="rId35" w:history="1">
        <w:r w:rsidR="0012457B" w:rsidRPr="00637066">
          <w:rPr>
            <w:rStyle w:val="Hyperlink"/>
            <w:rFonts w:eastAsia="Times New Roman" w:cstheme="minorHAnsi"/>
            <w:sz w:val="24"/>
            <w:szCs w:val="24"/>
          </w:rPr>
          <w:t xml:space="preserve">2018 article from </w:t>
        </w:r>
        <w:r w:rsidR="005103A0" w:rsidRPr="00637066">
          <w:rPr>
            <w:rStyle w:val="Hyperlink"/>
            <w:rFonts w:eastAsia="Times New Roman" w:cstheme="minorHAnsi"/>
            <w:sz w:val="24"/>
            <w:szCs w:val="24"/>
          </w:rPr>
          <w:t>Politico New York</w:t>
        </w:r>
      </w:hyperlink>
      <w:r w:rsidR="007B46BF" w:rsidRPr="00637066">
        <w:rPr>
          <w:rFonts w:eastAsia="Times New Roman" w:cstheme="minorHAnsi"/>
          <w:sz w:val="24"/>
          <w:szCs w:val="24"/>
        </w:rPr>
        <w:t xml:space="preserve">, and </w:t>
      </w:r>
      <w:hyperlink r:id="rId36" w:history="1">
        <w:r w:rsidR="007D5436" w:rsidRPr="00637066">
          <w:rPr>
            <w:rStyle w:val="Hyperlink"/>
            <w:rFonts w:eastAsia="Times New Roman" w:cstheme="minorHAnsi"/>
            <w:sz w:val="24"/>
            <w:szCs w:val="24"/>
          </w:rPr>
          <w:t>Implementing a Tooth Brushing Program to Promote Oral Health and Prevent Tooth Decay</w:t>
        </w:r>
      </w:hyperlink>
      <w:r w:rsidR="007D5436" w:rsidRPr="00637066">
        <w:rPr>
          <w:rFonts w:eastAsia="Times New Roman" w:cstheme="minorHAnsi"/>
          <w:sz w:val="24"/>
          <w:szCs w:val="24"/>
        </w:rPr>
        <w:t xml:space="preserve"> (2009)</w:t>
      </w:r>
      <w:r w:rsidR="00546090" w:rsidRPr="00637066">
        <w:rPr>
          <w:rFonts w:eastAsia="Times New Roman" w:cstheme="minorHAnsi"/>
          <w:sz w:val="24"/>
          <w:szCs w:val="24"/>
        </w:rPr>
        <w:t xml:space="preserve"> from MA Department of Health. </w:t>
      </w:r>
    </w:p>
    <w:p w14:paraId="59E93A64" w14:textId="77777777" w:rsidR="00677C62" w:rsidRPr="00637066" w:rsidRDefault="00677C62" w:rsidP="00564F92">
      <w:pPr>
        <w:spacing w:after="0" w:line="240" w:lineRule="auto"/>
        <w:rPr>
          <w:rFonts w:cstheme="minorHAnsi"/>
          <w:sz w:val="24"/>
          <w:szCs w:val="24"/>
        </w:rPr>
      </w:pPr>
    </w:p>
    <w:p w14:paraId="23AB0DE2" w14:textId="239E60E5" w:rsidR="00677C62" w:rsidRPr="00637066" w:rsidRDefault="001D2EB1" w:rsidP="00564F92">
      <w:pPr>
        <w:spacing w:after="0" w:line="240" w:lineRule="auto"/>
        <w:rPr>
          <w:rFonts w:cstheme="minorHAnsi"/>
          <w:b/>
          <w:bCs/>
          <w:sz w:val="24"/>
          <w:szCs w:val="24"/>
          <w:u w:val="single"/>
        </w:rPr>
      </w:pPr>
      <w:r w:rsidRPr="00637066">
        <w:rPr>
          <w:rFonts w:cstheme="minorHAnsi"/>
          <w:b/>
          <w:bCs/>
          <w:sz w:val="24"/>
          <w:szCs w:val="24"/>
          <w:u w:val="single"/>
        </w:rPr>
        <w:lastRenderedPageBreak/>
        <w:t>Tobacco Resources</w:t>
      </w:r>
    </w:p>
    <w:p w14:paraId="7EDD6E4F" w14:textId="31BA0860" w:rsidR="001D2EB1" w:rsidRPr="00637066" w:rsidRDefault="0018180B" w:rsidP="00564F92">
      <w:pPr>
        <w:pStyle w:val="ListParagraph"/>
        <w:numPr>
          <w:ilvl w:val="0"/>
          <w:numId w:val="9"/>
        </w:numPr>
        <w:spacing w:after="0" w:line="240" w:lineRule="auto"/>
        <w:rPr>
          <w:rFonts w:cstheme="minorHAnsi"/>
          <w:sz w:val="24"/>
          <w:szCs w:val="24"/>
        </w:rPr>
      </w:pPr>
      <w:hyperlink r:id="rId37" w:history="1">
        <w:r w:rsidR="001D2EB1" w:rsidRPr="00637066">
          <w:rPr>
            <w:rStyle w:val="Hyperlink"/>
            <w:rFonts w:cstheme="minorHAnsi"/>
            <w:sz w:val="24"/>
            <w:szCs w:val="24"/>
          </w:rPr>
          <w:t>Tobacco Settlement Endowment Trust</w:t>
        </w:r>
      </w:hyperlink>
      <w:r w:rsidR="001D2EB1" w:rsidRPr="00637066">
        <w:rPr>
          <w:rFonts w:cstheme="minorHAnsi"/>
          <w:sz w:val="24"/>
          <w:szCs w:val="24"/>
        </w:rPr>
        <w:t xml:space="preserve"> in Oklahoma. A web site that provides information on efforts to improve the health of Oklahomans including the </w:t>
      </w:r>
      <w:hyperlink r:id="rId38" w:history="1">
        <w:r w:rsidR="001D2EB1" w:rsidRPr="00637066">
          <w:rPr>
            <w:rStyle w:val="Hyperlink"/>
            <w:rFonts w:cstheme="minorHAnsi"/>
            <w:sz w:val="24"/>
            <w:szCs w:val="24"/>
          </w:rPr>
          <w:t>OK Healthy Living Program</w:t>
        </w:r>
      </w:hyperlink>
      <w:r w:rsidR="001D2EB1" w:rsidRPr="00637066">
        <w:rPr>
          <w:rFonts w:cstheme="minorHAnsi"/>
          <w:sz w:val="24"/>
          <w:szCs w:val="24"/>
        </w:rPr>
        <w:t xml:space="preserve">. </w:t>
      </w:r>
    </w:p>
    <w:p w14:paraId="264E8E94" w14:textId="77777777" w:rsidR="0095127C" w:rsidRDefault="0095127C" w:rsidP="0095127C">
      <w:pPr>
        <w:spacing w:after="0" w:line="240" w:lineRule="auto"/>
        <w:rPr>
          <w:rFonts w:cstheme="minorHAnsi"/>
          <w:b/>
          <w:bCs/>
          <w:sz w:val="24"/>
          <w:szCs w:val="24"/>
          <w:u w:val="single"/>
        </w:rPr>
      </w:pPr>
    </w:p>
    <w:p w14:paraId="0D2C7CDB" w14:textId="4E657BE3" w:rsidR="0095127C" w:rsidRPr="00637066" w:rsidRDefault="0095127C" w:rsidP="0095127C">
      <w:pPr>
        <w:spacing w:after="0" w:line="240" w:lineRule="auto"/>
        <w:rPr>
          <w:rFonts w:cstheme="minorHAnsi"/>
          <w:b/>
          <w:bCs/>
          <w:sz w:val="24"/>
          <w:szCs w:val="24"/>
          <w:u w:val="single"/>
        </w:rPr>
      </w:pPr>
      <w:r w:rsidRPr="00637066">
        <w:rPr>
          <w:rFonts w:cstheme="minorHAnsi"/>
          <w:b/>
          <w:bCs/>
          <w:sz w:val="24"/>
          <w:szCs w:val="24"/>
          <w:u w:val="single"/>
        </w:rPr>
        <w:t>Leadership / Management</w:t>
      </w:r>
    </w:p>
    <w:p w14:paraId="7EBE89EA" w14:textId="77777777" w:rsidR="0095127C" w:rsidRPr="00637066" w:rsidRDefault="0095127C" w:rsidP="0095127C">
      <w:pPr>
        <w:pStyle w:val="ListParagraph"/>
        <w:numPr>
          <w:ilvl w:val="0"/>
          <w:numId w:val="1"/>
        </w:numPr>
        <w:spacing w:after="0" w:line="240" w:lineRule="auto"/>
        <w:rPr>
          <w:rFonts w:cstheme="minorHAnsi"/>
          <w:sz w:val="24"/>
          <w:szCs w:val="24"/>
        </w:rPr>
      </w:pPr>
      <w:hyperlink r:id="rId39" w:history="1">
        <w:r w:rsidRPr="00637066">
          <w:rPr>
            <w:rStyle w:val="Hyperlink"/>
            <w:rFonts w:cstheme="minorHAnsi"/>
            <w:sz w:val="24"/>
            <w:szCs w:val="24"/>
          </w:rPr>
          <w:t>Management is still not Leadership</w:t>
        </w:r>
      </w:hyperlink>
      <w:r w:rsidRPr="00637066">
        <w:rPr>
          <w:rFonts w:cstheme="minorHAnsi"/>
          <w:sz w:val="24"/>
          <w:szCs w:val="24"/>
        </w:rPr>
        <w:t>, Harvard Business Review January 9, 2013.</w:t>
      </w:r>
    </w:p>
    <w:p w14:paraId="6EBDC43A" w14:textId="77777777" w:rsidR="0095127C" w:rsidRPr="00637066" w:rsidRDefault="0095127C" w:rsidP="0095127C">
      <w:pPr>
        <w:pStyle w:val="ListParagraph"/>
        <w:numPr>
          <w:ilvl w:val="0"/>
          <w:numId w:val="1"/>
        </w:numPr>
        <w:spacing w:after="0" w:line="240" w:lineRule="auto"/>
        <w:rPr>
          <w:rFonts w:cstheme="minorHAnsi"/>
          <w:sz w:val="24"/>
          <w:szCs w:val="24"/>
        </w:rPr>
      </w:pPr>
      <w:hyperlink r:id="rId40" w:history="1">
        <w:r w:rsidRPr="00637066">
          <w:rPr>
            <w:rStyle w:val="Hyperlink"/>
            <w:rFonts w:cstheme="minorHAnsi"/>
            <w:sz w:val="24"/>
            <w:szCs w:val="24"/>
          </w:rPr>
          <w:t>A Survival Guide for Leaders</w:t>
        </w:r>
      </w:hyperlink>
      <w:r w:rsidRPr="00637066">
        <w:rPr>
          <w:rFonts w:cstheme="minorHAnsi"/>
          <w:sz w:val="24"/>
          <w:szCs w:val="24"/>
        </w:rPr>
        <w:t xml:space="preserve"> Harvard Business Review June 2002.</w:t>
      </w:r>
    </w:p>
    <w:p w14:paraId="011DC668" w14:textId="77777777" w:rsidR="0095127C" w:rsidRPr="00637066" w:rsidRDefault="0095127C" w:rsidP="0095127C">
      <w:pPr>
        <w:pStyle w:val="ListParagraph"/>
        <w:numPr>
          <w:ilvl w:val="0"/>
          <w:numId w:val="1"/>
        </w:numPr>
        <w:spacing w:after="0" w:line="240" w:lineRule="auto"/>
        <w:rPr>
          <w:rFonts w:cstheme="minorHAnsi"/>
          <w:sz w:val="24"/>
          <w:szCs w:val="24"/>
        </w:rPr>
      </w:pPr>
      <w:hyperlink r:id="rId41" w:history="1">
        <w:r w:rsidRPr="00637066">
          <w:rPr>
            <w:rStyle w:val="Hyperlink"/>
            <w:rFonts w:cstheme="minorHAnsi"/>
            <w:sz w:val="24"/>
            <w:szCs w:val="24"/>
          </w:rPr>
          <w:t>Bedtime stories for Managers</w:t>
        </w:r>
      </w:hyperlink>
      <w:r w:rsidRPr="00637066">
        <w:rPr>
          <w:rFonts w:cstheme="minorHAnsi"/>
          <w:sz w:val="24"/>
          <w:szCs w:val="24"/>
        </w:rPr>
        <w:t>, a link to a book of essays by Henry Mintzberg (2019).</w:t>
      </w:r>
    </w:p>
    <w:p w14:paraId="6E513575" w14:textId="77777777" w:rsidR="0095127C" w:rsidRPr="00637066" w:rsidRDefault="0095127C" w:rsidP="0095127C">
      <w:pPr>
        <w:pStyle w:val="ListParagraph"/>
        <w:numPr>
          <w:ilvl w:val="0"/>
          <w:numId w:val="1"/>
        </w:numPr>
        <w:spacing w:after="0" w:line="240" w:lineRule="auto"/>
        <w:contextualSpacing w:val="0"/>
        <w:rPr>
          <w:rFonts w:eastAsia="Times New Roman" w:cstheme="minorHAnsi"/>
          <w:sz w:val="24"/>
          <w:szCs w:val="24"/>
        </w:rPr>
      </w:pPr>
      <w:r w:rsidRPr="00637066">
        <w:rPr>
          <w:rFonts w:eastAsia="Times New Roman" w:cstheme="minorHAnsi"/>
          <w:sz w:val="24"/>
          <w:szCs w:val="24"/>
        </w:rPr>
        <w:t xml:space="preserve">Kentucky linked health efforts to their overall accountability system: </w:t>
      </w:r>
      <w:hyperlink r:id="rId42" w:history="1">
        <w:r w:rsidRPr="00637066">
          <w:rPr>
            <w:rStyle w:val="Hyperlink"/>
            <w:rFonts w:eastAsia="Times New Roman" w:cstheme="minorHAnsi"/>
            <w:sz w:val="24"/>
            <w:szCs w:val="24"/>
          </w:rPr>
          <w:t>https://education.ky.gov/AA/Acct/Pages/default.aspx</w:t>
        </w:r>
      </w:hyperlink>
      <w:r w:rsidRPr="00637066">
        <w:rPr>
          <w:rFonts w:eastAsia="Times New Roman" w:cstheme="minorHAnsi"/>
          <w:sz w:val="24"/>
          <w:szCs w:val="24"/>
        </w:rPr>
        <w:t xml:space="preserve"> </w:t>
      </w:r>
    </w:p>
    <w:p w14:paraId="3C7CB3C1" w14:textId="77777777" w:rsidR="0095127C" w:rsidRPr="00637066" w:rsidRDefault="0095127C" w:rsidP="0095127C">
      <w:pPr>
        <w:pStyle w:val="ListParagraph"/>
        <w:numPr>
          <w:ilvl w:val="0"/>
          <w:numId w:val="1"/>
        </w:numPr>
        <w:spacing w:after="0" w:line="240" w:lineRule="auto"/>
        <w:rPr>
          <w:rFonts w:cstheme="minorHAnsi"/>
          <w:sz w:val="24"/>
          <w:szCs w:val="24"/>
        </w:rPr>
      </w:pPr>
      <w:hyperlink r:id="rId43" w:history="1">
        <w:r w:rsidRPr="00637066">
          <w:rPr>
            <w:rStyle w:val="Hyperlink"/>
            <w:rFonts w:eastAsia="Times New Roman" w:cstheme="minorHAnsi"/>
            <w:sz w:val="24"/>
            <w:szCs w:val="24"/>
          </w:rPr>
          <w:t>Understanding the Upstream Social Determinants of Health</w:t>
        </w:r>
      </w:hyperlink>
      <w:r w:rsidRPr="00637066">
        <w:rPr>
          <w:rFonts w:eastAsia="Times New Roman" w:cstheme="minorHAnsi"/>
          <w:sz w:val="24"/>
          <w:szCs w:val="24"/>
        </w:rPr>
        <w:t xml:space="preserve"> (2015), a </w:t>
      </w:r>
      <w:hyperlink r:id="rId44" w:history="1">
        <w:r w:rsidRPr="00637066">
          <w:rPr>
            <w:rStyle w:val="Hyperlink"/>
            <w:rFonts w:eastAsia="Times New Roman" w:cstheme="minorHAnsi"/>
            <w:sz w:val="24"/>
            <w:szCs w:val="24"/>
          </w:rPr>
          <w:t>RAND</w:t>
        </w:r>
      </w:hyperlink>
      <w:r w:rsidRPr="00637066">
        <w:rPr>
          <w:rFonts w:eastAsia="Times New Roman" w:cstheme="minorHAnsi"/>
          <w:sz w:val="24"/>
          <w:szCs w:val="24"/>
        </w:rPr>
        <w:t xml:space="preserve"> working paper.</w:t>
      </w:r>
    </w:p>
    <w:p w14:paraId="1708C7DC" w14:textId="77777777" w:rsidR="0095127C" w:rsidRPr="00637066" w:rsidRDefault="0095127C" w:rsidP="0095127C">
      <w:pPr>
        <w:pStyle w:val="ListParagraph"/>
        <w:numPr>
          <w:ilvl w:val="0"/>
          <w:numId w:val="1"/>
        </w:numPr>
        <w:spacing w:after="0" w:line="240" w:lineRule="auto"/>
        <w:rPr>
          <w:rFonts w:cstheme="minorHAnsi"/>
          <w:sz w:val="24"/>
          <w:szCs w:val="24"/>
        </w:rPr>
      </w:pPr>
      <w:hyperlink r:id="rId45" w:history="1">
        <w:r w:rsidRPr="00637066">
          <w:rPr>
            <w:rStyle w:val="Hyperlink"/>
            <w:rFonts w:cstheme="minorHAnsi"/>
            <w:sz w:val="24"/>
            <w:szCs w:val="24"/>
          </w:rPr>
          <w:t>Education Improves Public Health and Promotes Health Equity</w:t>
        </w:r>
      </w:hyperlink>
      <w:r w:rsidRPr="00637066">
        <w:rPr>
          <w:rFonts w:cstheme="minorHAnsi"/>
          <w:color w:val="000000"/>
          <w:sz w:val="24"/>
          <w:szCs w:val="24"/>
        </w:rPr>
        <w:t xml:space="preserve"> (2015).</w:t>
      </w:r>
    </w:p>
    <w:p w14:paraId="46E8071B" w14:textId="77777777" w:rsidR="0095127C" w:rsidRPr="00637066" w:rsidRDefault="0095127C" w:rsidP="0095127C">
      <w:pPr>
        <w:pStyle w:val="ListParagraph"/>
        <w:numPr>
          <w:ilvl w:val="0"/>
          <w:numId w:val="1"/>
        </w:numPr>
        <w:spacing w:after="0" w:line="240" w:lineRule="auto"/>
        <w:rPr>
          <w:rFonts w:cstheme="minorHAnsi"/>
          <w:sz w:val="24"/>
          <w:szCs w:val="24"/>
        </w:rPr>
      </w:pPr>
      <w:hyperlink r:id="rId46" w:history="1">
        <w:r w:rsidRPr="00637066">
          <w:rPr>
            <w:rStyle w:val="Hyperlink"/>
            <w:rFonts w:cstheme="minorHAnsi"/>
            <w:sz w:val="24"/>
            <w:szCs w:val="24"/>
          </w:rPr>
          <w:t>The Achievement Gap Initiative at Harvard University</w:t>
        </w:r>
      </w:hyperlink>
      <w:r w:rsidRPr="00637066">
        <w:rPr>
          <w:rFonts w:cstheme="minorHAnsi"/>
          <w:sz w:val="24"/>
          <w:szCs w:val="24"/>
        </w:rPr>
        <w:t>. Build bridges from research to policy and practice in pursuit of societal excellence with equity; includes resources and a slide presentation.</w:t>
      </w:r>
    </w:p>
    <w:p w14:paraId="48E01B46" w14:textId="77777777" w:rsidR="00354387" w:rsidRPr="00637066" w:rsidRDefault="00354387" w:rsidP="00564F92">
      <w:pPr>
        <w:spacing w:after="0" w:line="240" w:lineRule="auto"/>
        <w:rPr>
          <w:rFonts w:cstheme="minorHAnsi"/>
          <w:sz w:val="24"/>
          <w:szCs w:val="24"/>
        </w:rPr>
      </w:pPr>
    </w:p>
    <w:sectPr w:rsidR="00354387" w:rsidRPr="00637066" w:rsidSect="00960189">
      <w:headerReference w:type="default" r:id="rId47"/>
      <w:headerReference w:type="first" r:id="rId48"/>
      <w:pgSz w:w="12240" w:h="15840"/>
      <w:pgMar w:top="135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E335E" w14:textId="77777777" w:rsidR="0018180B" w:rsidRDefault="0018180B" w:rsidP="00E03BFD">
      <w:pPr>
        <w:spacing w:after="0" w:line="240" w:lineRule="auto"/>
      </w:pPr>
      <w:r>
        <w:separator/>
      </w:r>
    </w:p>
  </w:endnote>
  <w:endnote w:type="continuationSeparator" w:id="0">
    <w:p w14:paraId="2015E9AE" w14:textId="77777777" w:rsidR="0018180B" w:rsidRDefault="0018180B" w:rsidP="00E03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7153A" w14:textId="77777777" w:rsidR="0018180B" w:rsidRDefault="0018180B" w:rsidP="00E03BFD">
      <w:pPr>
        <w:spacing w:after="0" w:line="240" w:lineRule="auto"/>
      </w:pPr>
      <w:r>
        <w:separator/>
      </w:r>
    </w:p>
  </w:footnote>
  <w:footnote w:type="continuationSeparator" w:id="0">
    <w:p w14:paraId="7E658D08" w14:textId="77777777" w:rsidR="0018180B" w:rsidRDefault="0018180B" w:rsidP="00E03B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B998E" w14:textId="76D9C995" w:rsidR="00E03BFD" w:rsidRDefault="00E03BFD" w:rsidP="00E03BF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3CC40" w14:textId="1F90DFFC" w:rsidR="00960189" w:rsidRDefault="00960189" w:rsidP="00960189">
    <w:pPr>
      <w:pStyle w:val="Header"/>
      <w:jc w:val="center"/>
    </w:pPr>
    <w:r>
      <w:rPr>
        <w:noProof/>
      </w:rPr>
      <w:drawing>
        <wp:inline distT="0" distB="0" distL="0" distR="0" wp14:anchorId="13ED7A07" wp14:editId="186F09DB">
          <wp:extent cx="1962785" cy="1012190"/>
          <wp:effectExtent l="0" t="0" r="0" b="0"/>
          <wp:docPr id="12" name="Picture 0" descr="17-04-NACDD-logo-vert-RGB.tiff"/>
          <wp:cNvGraphicFramePr/>
          <a:graphic xmlns:a="http://schemas.openxmlformats.org/drawingml/2006/main">
            <a:graphicData uri="http://schemas.openxmlformats.org/drawingml/2006/picture">
              <pic:pic xmlns:pic="http://schemas.openxmlformats.org/drawingml/2006/picture">
                <pic:nvPicPr>
                  <pic:cNvPr id="1" name="Picture 0" descr="17-04-NACDD-logo-vert-RGB.tiff"/>
                  <pic:cNvPicPr/>
                </pic:nvPicPr>
                <pic:blipFill>
                  <a:blip r:embed="rId1"/>
                  <a:stretch>
                    <a:fillRect/>
                  </a:stretch>
                </pic:blipFill>
                <pic:spPr>
                  <a:xfrm>
                    <a:off x="0" y="0"/>
                    <a:ext cx="1962785" cy="10121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3EAA"/>
    <w:multiLevelType w:val="multilevel"/>
    <w:tmpl w:val="7D549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 w15:restartNumberingAfterBreak="0">
    <w:nsid w:val="0392275A"/>
    <w:multiLevelType w:val="hybridMultilevel"/>
    <w:tmpl w:val="B86E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05059"/>
    <w:multiLevelType w:val="multilevel"/>
    <w:tmpl w:val="50BA82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D1297"/>
    <w:multiLevelType w:val="multilevel"/>
    <w:tmpl w:val="C0B80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8A595A"/>
    <w:multiLevelType w:val="hybridMultilevel"/>
    <w:tmpl w:val="24C899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5950A31"/>
    <w:multiLevelType w:val="hybridMultilevel"/>
    <w:tmpl w:val="694A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F74FE9"/>
    <w:multiLevelType w:val="multilevel"/>
    <w:tmpl w:val="C0B80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937372"/>
    <w:multiLevelType w:val="multilevel"/>
    <w:tmpl w:val="54DC03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39E7D56"/>
    <w:multiLevelType w:val="hybridMultilevel"/>
    <w:tmpl w:val="2D90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22652"/>
    <w:multiLevelType w:val="hybridMultilevel"/>
    <w:tmpl w:val="8388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1762B"/>
    <w:multiLevelType w:val="hybridMultilevel"/>
    <w:tmpl w:val="5FF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C55D1B"/>
    <w:multiLevelType w:val="multilevel"/>
    <w:tmpl w:val="495CA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1C35EAA"/>
    <w:multiLevelType w:val="hybridMultilevel"/>
    <w:tmpl w:val="FB2419A6"/>
    <w:lvl w:ilvl="0" w:tplc="2D6AC0F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3F756A"/>
    <w:multiLevelType w:val="multilevel"/>
    <w:tmpl w:val="5AFC0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53953E37"/>
    <w:multiLevelType w:val="hybridMultilevel"/>
    <w:tmpl w:val="64F44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98F1DB9"/>
    <w:multiLevelType w:val="multilevel"/>
    <w:tmpl w:val="CFEAC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B61103"/>
    <w:multiLevelType w:val="hybridMultilevel"/>
    <w:tmpl w:val="00B0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650583"/>
    <w:multiLevelType w:val="multilevel"/>
    <w:tmpl w:val="5AFC0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8" w15:restartNumberingAfterBreak="0">
    <w:nsid w:val="7DEC1B33"/>
    <w:multiLevelType w:val="hybridMultilevel"/>
    <w:tmpl w:val="4D2AB2C0"/>
    <w:lvl w:ilvl="0" w:tplc="E0941B50">
      <w:start w:val="2019"/>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391E26"/>
    <w:multiLevelType w:val="hybridMultilevel"/>
    <w:tmpl w:val="A036B416"/>
    <w:lvl w:ilvl="0" w:tplc="ECEA6E6C">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
  </w:num>
  <w:num w:numId="3">
    <w:abstractNumId w:val="7"/>
  </w:num>
  <w:num w:numId="4">
    <w:abstractNumId w:val="17"/>
  </w:num>
  <w:num w:numId="5">
    <w:abstractNumId w:val="11"/>
  </w:num>
  <w:num w:numId="6">
    <w:abstractNumId w:val="2"/>
  </w:num>
  <w:num w:numId="7">
    <w:abstractNumId w:val="3"/>
  </w:num>
  <w:num w:numId="8">
    <w:abstractNumId w:val="5"/>
  </w:num>
  <w:num w:numId="9">
    <w:abstractNumId w:val="6"/>
  </w:num>
  <w:num w:numId="10">
    <w:abstractNumId w:val="12"/>
  </w:num>
  <w:num w:numId="11">
    <w:abstractNumId w:val="6"/>
  </w:num>
  <w:num w:numId="12">
    <w:abstractNumId w:val="10"/>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14"/>
  </w:num>
  <w:num w:numId="18">
    <w:abstractNumId w:val="9"/>
  </w:num>
  <w:num w:numId="19">
    <w:abstractNumId w:val="16"/>
  </w:num>
  <w:num w:numId="20">
    <w:abstractNumId w:val="4"/>
  </w:num>
  <w:num w:numId="21">
    <w:abstractNumId w:val="1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C04"/>
    <w:rsid w:val="00061853"/>
    <w:rsid w:val="0006614C"/>
    <w:rsid w:val="00087558"/>
    <w:rsid w:val="000968A7"/>
    <w:rsid w:val="000C0B31"/>
    <w:rsid w:val="000C67AC"/>
    <w:rsid w:val="000E3EF2"/>
    <w:rsid w:val="00111763"/>
    <w:rsid w:val="00122181"/>
    <w:rsid w:val="0012457B"/>
    <w:rsid w:val="0012681C"/>
    <w:rsid w:val="001516A7"/>
    <w:rsid w:val="00154774"/>
    <w:rsid w:val="00157AEB"/>
    <w:rsid w:val="00157BD7"/>
    <w:rsid w:val="00170292"/>
    <w:rsid w:val="0017101D"/>
    <w:rsid w:val="0018180B"/>
    <w:rsid w:val="001B3580"/>
    <w:rsid w:val="001C6A5E"/>
    <w:rsid w:val="001D2EB1"/>
    <w:rsid w:val="001E1B5E"/>
    <w:rsid w:val="001E4047"/>
    <w:rsid w:val="001F5FA0"/>
    <w:rsid w:val="0020644B"/>
    <w:rsid w:val="00211050"/>
    <w:rsid w:val="00243869"/>
    <w:rsid w:val="002547FC"/>
    <w:rsid w:val="0026786D"/>
    <w:rsid w:val="002B03CD"/>
    <w:rsid w:val="002C388F"/>
    <w:rsid w:val="002E004A"/>
    <w:rsid w:val="002E34BC"/>
    <w:rsid w:val="002F3D2D"/>
    <w:rsid w:val="002F4F8A"/>
    <w:rsid w:val="0033446C"/>
    <w:rsid w:val="00345DEF"/>
    <w:rsid w:val="00352205"/>
    <w:rsid w:val="00354387"/>
    <w:rsid w:val="00366B1A"/>
    <w:rsid w:val="003C32DA"/>
    <w:rsid w:val="003D3E89"/>
    <w:rsid w:val="003D403D"/>
    <w:rsid w:val="00433194"/>
    <w:rsid w:val="00451286"/>
    <w:rsid w:val="00467179"/>
    <w:rsid w:val="0047139F"/>
    <w:rsid w:val="00490DFB"/>
    <w:rsid w:val="004A42C0"/>
    <w:rsid w:val="004E36DE"/>
    <w:rsid w:val="005058D5"/>
    <w:rsid w:val="005103A0"/>
    <w:rsid w:val="005129EF"/>
    <w:rsid w:val="00512E5B"/>
    <w:rsid w:val="005155B4"/>
    <w:rsid w:val="0052034E"/>
    <w:rsid w:val="005352A2"/>
    <w:rsid w:val="005372CF"/>
    <w:rsid w:val="00546090"/>
    <w:rsid w:val="00550197"/>
    <w:rsid w:val="005512F7"/>
    <w:rsid w:val="00564F92"/>
    <w:rsid w:val="00576C04"/>
    <w:rsid w:val="005C4412"/>
    <w:rsid w:val="005D0D16"/>
    <w:rsid w:val="005D2837"/>
    <w:rsid w:val="005E419B"/>
    <w:rsid w:val="005E65C4"/>
    <w:rsid w:val="00617B0F"/>
    <w:rsid w:val="00620AD4"/>
    <w:rsid w:val="00637066"/>
    <w:rsid w:val="00637322"/>
    <w:rsid w:val="00677C62"/>
    <w:rsid w:val="006A0995"/>
    <w:rsid w:val="006C566F"/>
    <w:rsid w:val="006D6B8A"/>
    <w:rsid w:val="00707DF0"/>
    <w:rsid w:val="00721461"/>
    <w:rsid w:val="007233D0"/>
    <w:rsid w:val="0074183C"/>
    <w:rsid w:val="00742964"/>
    <w:rsid w:val="0077368A"/>
    <w:rsid w:val="007765BE"/>
    <w:rsid w:val="0078151A"/>
    <w:rsid w:val="00795517"/>
    <w:rsid w:val="007968A8"/>
    <w:rsid w:val="007A13DE"/>
    <w:rsid w:val="007B46BF"/>
    <w:rsid w:val="007B67E8"/>
    <w:rsid w:val="007C3D01"/>
    <w:rsid w:val="007D0553"/>
    <w:rsid w:val="007D5436"/>
    <w:rsid w:val="007F20B0"/>
    <w:rsid w:val="007F53C0"/>
    <w:rsid w:val="0080221A"/>
    <w:rsid w:val="00811E50"/>
    <w:rsid w:val="00824682"/>
    <w:rsid w:val="00825F3B"/>
    <w:rsid w:val="00842CF7"/>
    <w:rsid w:val="008604B1"/>
    <w:rsid w:val="00891BD1"/>
    <w:rsid w:val="008B7C75"/>
    <w:rsid w:val="008D234F"/>
    <w:rsid w:val="009057CC"/>
    <w:rsid w:val="00915D03"/>
    <w:rsid w:val="00937E6C"/>
    <w:rsid w:val="009407EB"/>
    <w:rsid w:val="0095127C"/>
    <w:rsid w:val="00960189"/>
    <w:rsid w:val="009855CB"/>
    <w:rsid w:val="00986056"/>
    <w:rsid w:val="00992DBE"/>
    <w:rsid w:val="009B2644"/>
    <w:rsid w:val="009D7D7C"/>
    <w:rsid w:val="009F0910"/>
    <w:rsid w:val="009F79AD"/>
    <w:rsid w:val="00A07A63"/>
    <w:rsid w:val="00A13335"/>
    <w:rsid w:val="00A54178"/>
    <w:rsid w:val="00A65881"/>
    <w:rsid w:val="00A65DAA"/>
    <w:rsid w:val="00A741AA"/>
    <w:rsid w:val="00A92BE8"/>
    <w:rsid w:val="00AA40CB"/>
    <w:rsid w:val="00AC2C36"/>
    <w:rsid w:val="00AC641F"/>
    <w:rsid w:val="00AE2E6D"/>
    <w:rsid w:val="00B028F9"/>
    <w:rsid w:val="00B35066"/>
    <w:rsid w:val="00B47338"/>
    <w:rsid w:val="00B63ED9"/>
    <w:rsid w:val="00B71EDA"/>
    <w:rsid w:val="00B745A0"/>
    <w:rsid w:val="00B755C0"/>
    <w:rsid w:val="00BC6E8A"/>
    <w:rsid w:val="00BD7040"/>
    <w:rsid w:val="00C0350E"/>
    <w:rsid w:val="00C211C4"/>
    <w:rsid w:val="00C27836"/>
    <w:rsid w:val="00C31E39"/>
    <w:rsid w:val="00C42CCA"/>
    <w:rsid w:val="00C70A0A"/>
    <w:rsid w:val="00C74E3A"/>
    <w:rsid w:val="00C86159"/>
    <w:rsid w:val="00CB18BE"/>
    <w:rsid w:val="00CB5948"/>
    <w:rsid w:val="00CB6450"/>
    <w:rsid w:val="00CC21D9"/>
    <w:rsid w:val="00CC6FCC"/>
    <w:rsid w:val="00CD2B43"/>
    <w:rsid w:val="00CD2F8B"/>
    <w:rsid w:val="00CF6279"/>
    <w:rsid w:val="00D02406"/>
    <w:rsid w:val="00D11BC3"/>
    <w:rsid w:val="00D174CA"/>
    <w:rsid w:val="00D35710"/>
    <w:rsid w:val="00D511CB"/>
    <w:rsid w:val="00D824E2"/>
    <w:rsid w:val="00DA3EC1"/>
    <w:rsid w:val="00DC5CCE"/>
    <w:rsid w:val="00DC6BD9"/>
    <w:rsid w:val="00DE5809"/>
    <w:rsid w:val="00E03BFD"/>
    <w:rsid w:val="00E14D64"/>
    <w:rsid w:val="00E20595"/>
    <w:rsid w:val="00E56E19"/>
    <w:rsid w:val="00E6454F"/>
    <w:rsid w:val="00E86090"/>
    <w:rsid w:val="00E92272"/>
    <w:rsid w:val="00E94B76"/>
    <w:rsid w:val="00E96F49"/>
    <w:rsid w:val="00EE3226"/>
    <w:rsid w:val="00EF5877"/>
    <w:rsid w:val="00F32617"/>
    <w:rsid w:val="00F33EEB"/>
    <w:rsid w:val="00F35CDC"/>
    <w:rsid w:val="00F35CF7"/>
    <w:rsid w:val="00F45375"/>
    <w:rsid w:val="00F666ED"/>
    <w:rsid w:val="00F80090"/>
    <w:rsid w:val="00FB1B5C"/>
    <w:rsid w:val="00FB3C2B"/>
    <w:rsid w:val="00FC7D6D"/>
    <w:rsid w:val="00FD1E36"/>
    <w:rsid w:val="00FD2899"/>
    <w:rsid w:val="00FD7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273E5"/>
  <w15:chartTrackingRefBased/>
  <w15:docId w15:val="{D0314572-9829-43F2-939F-1650F79D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7B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semiHidden/>
    <w:unhideWhenUsed/>
    <w:qFormat/>
    <w:rsid w:val="009B2644"/>
    <w:pPr>
      <w:spacing w:before="100" w:beforeAutospacing="1" w:after="100" w:afterAutospacing="1" w:line="240" w:lineRule="auto"/>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FD"/>
  </w:style>
  <w:style w:type="paragraph" w:styleId="Footer">
    <w:name w:val="footer"/>
    <w:basedOn w:val="Normal"/>
    <w:link w:val="FooterChar"/>
    <w:uiPriority w:val="99"/>
    <w:unhideWhenUsed/>
    <w:rsid w:val="00E03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FD"/>
  </w:style>
  <w:style w:type="paragraph" w:styleId="ListParagraph">
    <w:name w:val="List Paragraph"/>
    <w:basedOn w:val="Normal"/>
    <w:uiPriority w:val="34"/>
    <w:qFormat/>
    <w:rsid w:val="009B2644"/>
    <w:pPr>
      <w:ind w:left="720"/>
      <w:contextualSpacing/>
    </w:pPr>
  </w:style>
  <w:style w:type="character" w:styleId="Hyperlink">
    <w:name w:val="Hyperlink"/>
    <w:basedOn w:val="DefaultParagraphFont"/>
    <w:uiPriority w:val="99"/>
    <w:unhideWhenUsed/>
    <w:rsid w:val="009B2644"/>
    <w:rPr>
      <w:color w:val="0563C1" w:themeColor="hyperlink"/>
      <w:u w:val="single"/>
    </w:rPr>
  </w:style>
  <w:style w:type="character" w:styleId="UnresolvedMention">
    <w:name w:val="Unresolved Mention"/>
    <w:basedOn w:val="DefaultParagraphFont"/>
    <w:uiPriority w:val="99"/>
    <w:semiHidden/>
    <w:unhideWhenUsed/>
    <w:rsid w:val="009B2644"/>
    <w:rPr>
      <w:color w:val="605E5C"/>
      <w:shd w:val="clear" w:color="auto" w:fill="E1DFDD"/>
    </w:rPr>
  </w:style>
  <w:style w:type="character" w:customStyle="1" w:styleId="Heading3Char">
    <w:name w:val="Heading 3 Char"/>
    <w:basedOn w:val="DefaultParagraphFont"/>
    <w:link w:val="Heading3"/>
    <w:uiPriority w:val="9"/>
    <w:semiHidden/>
    <w:rsid w:val="009B2644"/>
    <w:rPr>
      <w:rFonts w:ascii="Calibri" w:eastAsia="Times New Roman" w:hAnsi="Calibri" w:cs="Calibri"/>
      <w:b/>
      <w:bCs/>
      <w:sz w:val="27"/>
      <w:szCs w:val="27"/>
    </w:rPr>
  </w:style>
  <w:style w:type="paragraph" w:styleId="NormalWeb">
    <w:name w:val="Normal (Web)"/>
    <w:basedOn w:val="Normal"/>
    <w:uiPriority w:val="99"/>
    <w:semiHidden/>
    <w:unhideWhenUsed/>
    <w:rsid w:val="009B2644"/>
    <w:pPr>
      <w:spacing w:before="100" w:beforeAutospacing="1" w:after="100" w:afterAutospacing="1" w:line="240" w:lineRule="auto"/>
    </w:pPr>
    <w:rPr>
      <w:rFonts w:ascii="Calibri" w:hAnsi="Calibri" w:cs="Calibri"/>
    </w:rPr>
  </w:style>
  <w:style w:type="character" w:styleId="FollowedHyperlink">
    <w:name w:val="FollowedHyperlink"/>
    <w:basedOn w:val="DefaultParagraphFont"/>
    <w:uiPriority w:val="99"/>
    <w:semiHidden/>
    <w:unhideWhenUsed/>
    <w:rsid w:val="009B2644"/>
    <w:rPr>
      <w:color w:val="954F72" w:themeColor="followedHyperlink"/>
      <w:u w:val="single"/>
    </w:rPr>
  </w:style>
  <w:style w:type="character" w:customStyle="1" w:styleId="Heading1Char">
    <w:name w:val="Heading 1 Char"/>
    <w:basedOn w:val="DefaultParagraphFont"/>
    <w:link w:val="Heading1"/>
    <w:uiPriority w:val="9"/>
    <w:rsid w:val="00157BD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42964"/>
    <w:rPr>
      <w:sz w:val="16"/>
      <w:szCs w:val="16"/>
    </w:rPr>
  </w:style>
  <w:style w:type="paragraph" w:styleId="CommentText">
    <w:name w:val="annotation text"/>
    <w:basedOn w:val="Normal"/>
    <w:link w:val="CommentTextChar"/>
    <w:uiPriority w:val="99"/>
    <w:semiHidden/>
    <w:unhideWhenUsed/>
    <w:rsid w:val="00742964"/>
    <w:pPr>
      <w:spacing w:line="240" w:lineRule="auto"/>
    </w:pPr>
    <w:rPr>
      <w:sz w:val="20"/>
      <w:szCs w:val="20"/>
    </w:rPr>
  </w:style>
  <w:style w:type="character" w:customStyle="1" w:styleId="CommentTextChar">
    <w:name w:val="Comment Text Char"/>
    <w:basedOn w:val="DefaultParagraphFont"/>
    <w:link w:val="CommentText"/>
    <w:uiPriority w:val="99"/>
    <w:semiHidden/>
    <w:rsid w:val="00742964"/>
    <w:rPr>
      <w:sz w:val="20"/>
      <w:szCs w:val="20"/>
    </w:rPr>
  </w:style>
  <w:style w:type="paragraph" w:styleId="CommentSubject">
    <w:name w:val="annotation subject"/>
    <w:basedOn w:val="CommentText"/>
    <w:next w:val="CommentText"/>
    <w:link w:val="CommentSubjectChar"/>
    <w:uiPriority w:val="99"/>
    <w:semiHidden/>
    <w:unhideWhenUsed/>
    <w:rsid w:val="00742964"/>
    <w:rPr>
      <w:b/>
      <w:bCs/>
    </w:rPr>
  </w:style>
  <w:style w:type="character" w:customStyle="1" w:styleId="CommentSubjectChar">
    <w:name w:val="Comment Subject Char"/>
    <w:basedOn w:val="CommentTextChar"/>
    <w:link w:val="CommentSubject"/>
    <w:uiPriority w:val="99"/>
    <w:semiHidden/>
    <w:rsid w:val="00742964"/>
    <w:rPr>
      <w:b/>
      <w:bCs/>
      <w:sz w:val="20"/>
      <w:szCs w:val="20"/>
    </w:rPr>
  </w:style>
  <w:style w:type="paragraph" w:styleId="BalloonText">
    <w:name w:val="Balloon Text"/>
    <w:basedOn w:val="Normal"/>
    <w:link w:val="BalloonTextChar"/>
    <w:uiPriority w:val="99"/>
    <w:semiHidden/>
    <w:unhideWhenUsed/>
    <w:rsid w:val="007429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9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7783">
      <w:bodyDiv w:val="1"/>
      <w:marLeft w:val="0"/>
      <w:marRight w:val="0"/>
      <w:marTop w:val="0"/>
      <w:marBottom w:val="0"/>
      <w:divBdr>
        <w:top w:val="none" w:sz="0" w:space="0" w:color="auto"/>
        <w:left w:val="none" w:sz="0" w:space="0" w:color="auto"/>
        <w:bottom w:val="none" w:sz="0" w:space="0" w:color="auto"/>
        <w:right w:val="none" w:sz="0" w:space="0" w:color="auto"/>
      </w:divBdr>
    </w:div>
    <w:div w:id="175467008">
      <w:bodyDiv w:val="1"/>
      <w:marLeft w:val="0"/>
      <w:marRight w:val="0"/>
      <w:marTop w:val="0"/>
      <w:marBottom w:val="0"/>
      <w:divBdr>
        <w:top w:val="none" w:sz="0" w:space="0" w:color="auto"/>
        <w:left w:val="none" w:sz="0" w:space="0" w:color="auto"/>
        <w:bottom w:val="none" w:sz="0" w:space="0" w:color="auto"/>
        <w:right w:val="none" w:sz="0" w:space="0" w:color="auto"/>
      </w:divBdr>
    </w:div>
    <w:div w:id="218713267">
      <w:bodyDiv w:val="1"/>
      <w:marLeft w:val="0"/>
      <w:marRight w:val="0"/>
      <w:marTop w:val="0"/>
      <w:marBottom w:val="0"/>
      <w:divBdr>
        <w:top w:val="none" w:sz="0" w:space="0" w:color="auto"/>
        <w:left w:val="none" w:sz="0" w:space="0" w:color="auto"/>
        <w:bottom w:val="none" w:sz="0" w:space="0" w:color="auto"/>
        <w:right w:val="none" w:sz="0" w:space="0" w:color="auto"/>
      </w:divBdr>
    </w:div>
    <w:div w:id="314991068">
      <w:bodyDiv w:val="1"/>
      <w:marLeft w:val="0"/>
      <w:marRight w:val="0"/>
      <w:marTop w:val="0"/>
      <w:marBottom w:val="0"/>
      <w:divBdr>
        <w:top w:val="none" w:sz="0" w:space="0" w:color="auto"/>
        <w:left w:val="none" w:sz="0" w:space="0" w:color="auto"/>
        <w:bottom w:val="none" w:sz="0" w:space="0" w:color="auto"/>
        <w:right w:val="none" w:sz="0" w:space="0" w:color="auto"/>
      </w:divBdr>
    </w:div>
    <w:div w:id="856041374">
      <w:bodyDiv w:val="1"/>
      <w:marLeft w:val="0"/>
      <w:marRight w:val="0"/>
      <w:marTop w:val="0"/>
      <w:marBottom w:val="0"/>
      <w:divBdr>
        <w:top w:val="none" w:sz="0" w:space="0" w:color="auto"/>
        <w:left w:val="none" w:sz="0" w:space="0" w:color="auto"/>
        <w:bottom w:val="none" w:sz="0" w:space="0" w:color="auto"/>
        <w:right w:val="none" w:sz="0" w:space="0" w:color="auto"/>
      </w:divBdr>
    </w:div>
    <w:div w:id="913468745">
      <w:bodyDiv w:val="1"/>
      <w:marLeft w:val="0"/>
      <w:marRight w:val="0"/>
      <w:marTop w:val="0"/>
      <w:marBottom w:val="0"/>
      <w:divBdr>
        <w:top w:val="none" w:sz="0" w:space="0" w:color="auto"/>
        <w:left w:val="none" w:sz="0" w:space="0" w:color="auto"/>
        <w:bottom w:val="none" w:sz="0" w:space="0" w:color="auto"/>
        <w:right w:val="none" w:sz="0" w:space="0" w:color="auto"/>
      </w:divBdr>
    </w:div>
    <w:div w:id="1126433072">
      <w:bodyDiv w:val="1"/>
      <w:marLeft w:val="0"/>
      <w:marRight w:val="0"/>
      <w:marTop w:val="0"/>
      <w:marBottom w:val="0"/>
      <w:divBdr>
        <w:top w:val="none" w:sz="0" w:space="0" w:color="auto"/>
        <w:left w:val="none" w:sz="0" w:space="0" w:color="auto"/>
        <w:bottom w:val="none" w:sz="0" w:space="0" w:color="auto"/>
        <w:right w:val="none" w:sz="0" w:space="0" w:color="auto"/>
      </w:divBdr>
    </w:div>
    <w:div w:id="1468743938">
      <w:bodyDiv w:val="1"/>
      <w:marLeft w:val="0"/>
      <w:marRight w:val="0"/>
      <w:marTop w:val="0"/>
      <w:marBottom w:val="0"/>
      <w:divBdr>
        <w:top w:val="none" w:sz="0" w:space="0" w:color="auto"/>
        <w:left w:val="none" w:sz="0" w:space="0" w:color="auto"/>
        <w:bottom w:val="none" w:sz="0" w:space="0" w:color="auto"/>
        <w:right w:val="none" w:sz="0" w:space="0" w:color="auto"/>
      </w:divBdr>
    </w:div>
    <w:div w:id="1504854377">
      <w:bodyDiv w:val="1"/>
      <w:marLeft w:val="0"/>
      <w:marRight w:val="0"/>
      <w:marTop w:val="0"/>
      <w:marBottom w:val="0"/>
      <w:divBdr>
        <w:top w:val="none" w:sz="0" w:space="0" w:color="auto"/>
        <w:left w:val="none" w:sz="0" w:space="0" w:color="auto"/>
        <w:bottom w:val="none" w:sz="0" w:space="0" w:color="auto"/>
        <w:right w:val="none" w:sz="0" w:space="0" w:color="auto"/>
      </w:divBdr>
    </w:div>
    <w:div w:id="1585527057">
      <w:bodyDiv w:val="1"/>
      <w:marLeft w:val="0"/>
      <w:marRight w:val="0"/>
      <w:marTop w:val="0"/>
      <w:marBottom w:val="0"/>
      <w:divBdr>
        <w:top w:val="none" w:sz="0" w:space="0" w:color="auto"/>
        <w:left w:val="none" w:sz="0" w:space="0" w:color="auto"/>
        <w:bottom w:val="none" w:sz="0" w:space="0" w:color="auto"/>
        <w:right w:val="none" w:sz="0" w:space="0" w:color="auto"/>
      </w:divBdr>
    </w:div>
    <w:div w:id="1619068450">
      <w:bodyDiv w:val="1"/>
      <w:marLeft w:val="0"/>
      <w:marRight w:val="0"/>
      <w:marTop w:val="0"/>
      <w:marBottom w:val="0"/>
      <w:divBdr>
        <w:top w:val="none" w:sz="0" w:space="0" w:color="auto"/>
        <w:left w:val="none" w:sz="0" w:space="0" w:color="auto"/>
        <w:bottom w:val="none" w:sz="0" w:space="0" w:color="auto"/>
        <w:right w:val="none" w:sz="0" w:space="0" w:color="auto"/>
      </w:divBdr>
    </w:div>
    <w:div w:id="1709643690">
      <w:bodyDiv w:val="1"/>
      <w:marLeft w:val="0"/>
      <w:marRight w:val="0"/>
      <w:marTop w:val="0"/>
      <w:marBottom w:val="0"/>
      <w:divBdr>
        <w:top w:val="none" w:sz="0" w:space="0" w:color="auto"/>
        <w:left w:val="none" w:sz="0" w:space="0" w:color="auto"/>
        <w:bottom w:val="none" w:sz="0" w:space="0" w:color="auto"/>
        <w:right w:val="none" w:sz="0" w:space="0" w:color="auto"/>
      </w:divBdr>
    </w:div>
    <w:div w:id="1832062041">
      <w:bodyDiv w:val="1"/>
      <w:marLeft w:val="0"/>
      <w:marRight w:val="0"/>
      <w:marTop w:val="0"/>
      <w:marBottom w:val="0"/>
      <w:divBdr>
        <w:top w:val="none" w:sz="0" w:space="0" w:color="auto"/>
        <w:left w:val="none" w:sz="0" w:space="0" w:color="auto"/>
        <w:bottom w:val="none" w:sz="0" w:space="0" w:color="auto"/>
        <w:right w:val="none" w:sz="0" w:space="0" w:color="auto"/>
      </w:divBdr>
    </w:div>
    <w:div w:id="1883783423">
      <w:bodyDiv w:val="1"/>
      <w:marLeft w:val="0"/>
      <w:marRight w:val="0"/>
      <w:marTop w:val="0"/>
      <w:marBottom w:val="0"/>
      <w:divBdr>
        <w:top w:val="none" w:sz="0" w:space="0" w:color="auto"/>
        <w:left w:val="none" w:sz="0" w:space="0" w:color="auto"/>
        <w:bottom w:val="none" w:sz="0" w:space="0" w:color="auto"/>
        <w:right w:val="none" w:sz="0" w:space="0" w:color="auto"/>
      </w:divBdr>
    </w:div>
    <w:div w:id="2004430633">
      <w:bodyDiv w:val="1"/>
      <w:marLeft w:val="0"/>
      <w:marRight w:val="0"/>
      <w:marTop w:val="0"/>
      <w:marBottom w:val="0"/>
      <w:divBdr>
        <w:top w:val="none" w:sz="0" w:space="0" w:color="auto"/>
        <w:left w:val="none" w:sz="0" w:space="0" w:color="auto"/>
        <w:bottom w:val="none" w:sz="0" w:space="0" w:color="auto"/>
        <w:right w:val="none" w:sz="0" w:space="0" w:color="auto"/>
      </w:divBdr>
    </w:div>
    <w:div w:id="2037346991">
      <w:bodyDiv w:val="1"/>
      <w:marLeft w:val="0"/>
      <w:marRight w:val="0"/>
      <w:marTop w:val="0"/>
      <w:marBottom w:val="0"/>
      <w:divBdr>
        <w:top w:val="none" w:sz="0" w:space="0" w:color="auto"/>
        <w:left w:val="none" w:sz="0" w:space="0" w:color="auto"/>
        <w:bottom w:val="none" w:sz="0" w:space="0" w:color="auto"/>
        <w:right w:val="none" w:sz="0" w:space="0" w:color="auto"/>
      </w:divBdr>
    </w:div>
    <w:div w:id="21421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ung.org/local-content/_content-items/our-initiatives/education-and-training/one-step-colorado.html" TargetMode="External"/><Relationship Id="rId18" Type="http://schemas.openxmlformats.org/officeDocument/2006/relationships/hyperlink" Target="https://cdn.ymaws.com/www.chronicdisease.org/resource/resmgr/school_health/NACDD_TheWholeSchool_FINAL.pdf" TargetMode="External"/><Relationship Id="rId26" Type="http://schemas.openxmlformats.org/officeDocument/2006/relationships/hyperlink" Target="https://ccsso.org/sites/default/files/2019-03/CCSSO-EdCounsel%20SE%20and%20School%20Climate%20measurement_0.pdf" TargetMode="External"/><Relationship Id="rId39" Type="http://schemas.openxmlformats.org/officeDocument/2006/relationships/hyperlink" Target="https://hbr.org/2013/01/management-is-still-not-leadership" TargetMode="External"/><Relationship Id="rId3" Type="http://schemas.openxmlformats.org/officeDocument/2006/relationships/settings" Target="settings.xml"/><Relationship Id="rId21" Type="http://schemas.openxmlformats.org/officeDocument/2006/relationships/hyperlink" Target="o%09https:/www.chronicdisease.org/page/SHwebinars" TargetMode="External"/><Relationship Id="rId34" Type="http://schemas.openxmlformats.org/officeDocument/2006/relationships/hyperlink" Target="https://odh.ohio.gov/wps/wcm/connect/gov/42430433-c0f6-4a59-947f-4760d1630586/GuidelinesOralHealth%2808-24-18%29+copy.pdf?MOD=AJPERES&amp;CONVERT_TO=url&amp;CACHEID=ROOTWORKSPACE.Z18_M1HGGIK0N0JO00QO9DDDDM3000-42430433-c0f6-4a59-947f-4760d1630586-mqDj1LS" TargetMode="External"/><Relationship Id="rId42" Type="http://schemas.openxmlformats.org/officeDocument/2006/relationships/hyperlink" Target="https://education.ky.gov/AA/Acct/Pages/default.aspx"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s://chronicdisease.us6.list-manage.com/track/click?u=f5eb710db3&amp;id=59b5e492be&amp;e=f24f4399a9" TargetMode="External"/><Relationship Id="rId12" Type="http://schemas.openxmlformats.org/officeDocument/2006/relationships/hyperlink" Target="https://chronicdisease.us6.list-manage.com/track/click?u=f5eb710db3&amp;id=cc04473db5&amp;e=f24f4399a9" TargetMode="External"/><Relationship Id="rId17" Type="http://schemas.openxmlformats.org/officeDocument/2006/relationships/hyperlink" Target="https://ccsso.org/resource-library/essa-implementation-timeline" TargetMode="External"/><Relationship Id="rId25" Type="http://schemas.openxmlformats.org/officeDocument/2006/relationships/hyperlink" Target="http://nationathope.org/report-from-the-nation/" TargetMode="External"/><Relationship Id="rId33" Type="http://schemas.openxmlformats.org/officeDocument/2006/relationships/hyperlink" Target="https://www.astdd.org/school-and-adolescent-oral-health-committee/" TargetMode="External"/><Relationship Id="rId38" Type="http://schemas.openxmlformats.org/officeDocument/2006/relationships/hyperlink" Target="https://tset.ok.gov/content/healthy-lifestyle-grants" TargetMode="External"/><Relationship Id="rId46" Type="http://schemas.openxmlformats.org/officeDocument/2006/relationships/hyperlink" Target="http://agi.harvard.edu/projects/thegap.php" TargetMode="External"/><Relationship Id="rId2" Type="http://schemas.openxmlformats.org/officeDocument/2006/relationships/styles" Target="styles.xml"/><Relationship Id="rId16" Type="http://schemas.openxmlformats.org/officeDocument/2006/relationships/hyperlink" Target="https://healthyschoolscampaign.org/wp-content/uploads/2018/03/ESSA-Needs-Assessments.pdf" TargetMode="External"/><Relationship Id="rId20" Type="http://schemas.openxmlformats.org/officeDocument/2006/relationships/hyperlink" Target="https://www.chronicdisease.org/page/SchoolHealthPubs" TargetMode="External"/><Relationship Id="rId29" Type="http://schemas.openxmlformats.org/officeDocument/2006/relationships/hyperlink" Target="https://www.cdc.gov/family/college/index.htm" TargetMode="External"/><Relationship Id="rId41" Type="http://schemas.openxmlformats.org/officeDocument/2006/relationships/hyperlink" Target="https://www.amazon.com/Bedtime-Stories-Managers-Leadership-Management/dp/15230987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ronicdisease.us6.list-manage.com/track/click?u=f5eb710db3&amp;id=d87af3c3fa&amp;e=f24f4399a9" TargetMode="External"/><Relationship Id="rId24" Type="http://schemas.openxmlformats.org/officeDocument/2006/relationships/hyperlink" Target="https://www.chronicdisease.org/page/SHvideos" TargetMode="External"/><Relationship Id="rId32" Type="http://schemas.openxmlformats.org/officeDocument/2006/relationships/hyperlink" Target="https://www.cdhp.org/resources/341-state-dental-screening-laws-for-children-examining-the-trend-and-impact" TargetMode="External"/><Relationship Id="rId37" Type="http://schemas.openxmlformats.org/officeDocument/2006/relationships/hyperlink" Target="https://tset.ok.gov/content/history" TargetMode="External"/><Relationship Id="rId40" Type="http://schemas.openxmlformats.org/officeDocument/2006/relationships/hyperlink" Target="https://hbr.org/2002/06/a-survival-guide-for-leaders" TargetMode="External"/><Relationship Id="rId45" Type="http://schemas.openxmlformats.org/officeDocument/2006/relationships/hyperlink" Target="https://www.ncbi.nlm.nih.gov/pmc/articles/PMC4691207/" TargetMode="External"/><Relationship Id="rId5" Type="http://schemas.openxmlformats.org/officeDocument/2006/relationships/footnotes" Target="footnotes.xml"/><Relationship Id="rId15" Type="http://schemas.openxmlformats.org/officeDocument/2006/relationships/hyperlink" Target="https://healthyschoolscampaign.org/wp-content/uploads/2017/05/Framework-for-Action-Addressing-Mental-Health-and-Wellbeing-through-ESSA-Implementation.pdf" TargetMode="External"/><Relationship Id="rId23" Type="http://schemas.openxmlformats.org/officeDocument/2006/relationships/hyperlink" Target="https://cdn.ymaws.com/www.chronicdisease.org/resource/resmgr/school_health/ExampleLocalPartners.pdf" TargetMode="External"/><Relationship Id="rId28" Type="http://schemas.openxmlformats.org/officeDocument/2006/relationships/hyperlink" Target="http://bit.ly/freecareupdate" TargetMode="External"/><Relationship Id="rId36" Type="http://schemas.openxmlformats.org/officeDocument/2006/relationships/hyperlink" Target="http://www.bphc.org/whatwedo/physical-health/oral-health/PublishingImages/Pages/Oral-Health-Resources/Implementing%20A%20Toothbrush%20in%20a%20Childcare%20Setting.pdf" TargetMode="External"/><Relationship Id="rId49" Type="http://schemas.openxmlformats.org/officeDocument/2006/relationships/fontTable" Target="fontTable.xml"/><Relationship Id="rId10" Type="http://schemas.openxmlformats.org/officeDocument/2006/relationships/hyperlink" Target="https://chronicdisease.us6.list-manage.com/track/click?u=f5eb710db3&amp;id=d8d94e199a&amp;e=f24f4399a9" TargetMode="External"/><Relationship Id="rId19" Type="http://schemas.openxmlformats.org/officeDocument/2006/relationships/hyperlink" Target="https://www.chronicdisease.org/page/SchoolHealthPubs" TargetMode="External"/><Relationship Id="rId31" Type="http://schemas.openxmlformats.org/officeDocument/2006/relationships/hyperlink" Target="https://www.mchoralhealth.org/materials/multiples/SchoolScreening/PocketGuide.pdf" TargetMode="External"/><Relationship Id="rId44" Type="http://schemas.openxmlformats.org/officeDocument/2006/relationships/hyperlink" Target="https://www.rand.org" TargetMode="External"/><Relationship Id="rId4" Type="http://schemas.openxmlformats.org/officeDocument/2006/relationships/webSettings" Target="webSettings.xml"/><Relationship Id="rId9" Type="http://schemas.openxmlformats.org/officeDocument/2006/relationships/hyperlink" Target="https://chronicdisease.us6.list-manage.com/track/click?u=f5eb710db3&amp;id=019c43d8e8&amp;e=f24f4399a9" TargetMode="External"/><Relationship Id="rId14" Type="http://schemas.openxmlformats.org/officeDocument/2006/relationships/hyperlink" Target="https://healthyeatingresearch.org/research/state-quality-rating-and-improvement-systems-strategies-to-support-healthy-eating-and-physical-activity-practices-in-early-care-and-education-settings/" TargetMode="External"/><Relationship Id="rId22" Type="http://schemas.openxmlformats.org/officeDocument/2006/relationships/hyperlink" Target="https://cdn.ymaws.com/www.chronicdisease.org/resource/resmgr/school_health/ExampleStatePartners.pdf" TargetMode="External"/><Relationship Id="rId27" Type="http://schemas.openxmlformats.org/officeDocument/2006/relationships/hyperlink" Target="https://www.future-ed.org/wp-content/uploads/2018/06/REPORT_writingtherules.pdf" TargetMode="External"/><Relationship Id="rId30" Type="http://schemas.openxmlformats.org/officeDocument/2006/relationships/hyperlink" Target="https://cepa.stanford.edu" TargetMode="External"/><Relationship Id="rId35" Type="http://schemas.openxmlformats.org/officeDocument/2006/relationships/hyperlink" Target="https://www.politico.com/states/new-york/city-hall/story/2018/03/13/board-of-health-proposal-would-require-preschool-teachers-daycare-staff-to-help-kids-brush-teeth-312452" TargetMode="External"/><Relationship Id="rId43" Type="http://schemas.openxmlformats.org/officeDocument/2006/relationships/hyperlink" Target="https://www.rand.org/content/dam/rand/pubs/working_papers/WR1000/WR1096/RAND_WR1096.pdf" TargetMode="External"/><Relationship Id="rId48" Type="http://schemas.openxmlformats.org/officeDocument/2006/relationships/header" Target="header2.xml"/><Relationship Id="rId8" Type="http://schemas.openxmlformats.org/officeDocument/2006/relationships/hyperlink" Target="https://www.chronicdisease.org/page/GabrielKapla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914</TotalTime>
  <Pages>3</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Dudley</dc:creator>
  <cp:keywords/>
  <dc:description/>
  <cp:lastModifiedBy>Heather Murphy</cp:lastModifiedBy>
  <cp:revision>138</cp:revision>
  <dcterms:created xsi:type="dcterms:W3CDTF">2020-01-04T00:52:00Z</dcterms:created>
  <dcterms:modified xsi:type="dcterms:W3CDTF">2020-03-05T17:35:00Z</dcterms:modified>
</cp:coreProperties>
</file>