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F2FC6" w14:textId="4FDB518D" w:rsidR="00015FA7" w:rsidRDefault="00E02A01" w:rsidP="001528FF">
      <w:pPr>
        <w:jc w:val="center"/>
      </w:pPr>
      <w:r>
        <w:rPr>
          <w:rFonts w:ascii="Arial" w:hAnsi="Arial" w:cs="Arial"/>
          <w:b/>
          <w:noProof/>
          <w:color w:val="FF0000"/>
          <w:sz w:val="28"/>
          <w:szCs w:val="28"/>
        </w:rPr>
        <mc:AlternateContent>
          <mc:Choice Requires="wps">
            <w:drawing>
              <wp:anchor distT="0" distB="0" distL="114300" distR="114300" simplePos="0" relativeHeight="251660288" behindDoc="0" locked="0" layoutInCell="1" allowOverlap="1" wp14:anchorId="70B0B210" wp14:editId="45AC036D">
                <wp:simplePos x="0" y="0"/>
                <wp:positionH relativeFrom="column">
                  <wp:posOffset>-228600</wp:posOffset>
                </wp:positionH>
                <wp:positionV relativeFrom="paragraph">
                  <wp:posOffset>-342900</wp:posOffset>
                </wp:positionV>
                <wp:extent cx="2743200" cy="2971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40A408" w14:textId="77777777" w:rsidR="00435715" w:rsidRDefault="00435715" w:rsidP="00E02A01">
                            <w:pPr>
                              <w:jc w:val="center"/>
                            </w:pPr>
                            <w:r>
                              <w:rPr>
                                <w:noProof/>
                              </w:rPr>
                              <w:drawing>
                                <wp:inline distT="0" distB="0" distL="0" distR="0" wp14:anchorId="0B141A52" wp14:editId="1D4268D3">
                                  <wp:extent cx="2522220" cy="2928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ty1.jpg"/>
                                          <pic:cNvPicPr/>
                                        </pic:nvPicPr>
                                        <pic:blipFill>
                                          <a:blip r:embed="rId8">
                                            <a:extLst>
                                              <a:ext uri="{28A0092B-C50C-407E-A947-70E740481C1C}">
                                                <a14:useLocalDpi xmlns:a14="http://schemas.microsoft.com/office/drawing/2010/main" val="0"/>
                                              </a:ext>
                                            </a:extLst>
                                          </a:blip>
                                          <a:stretch>
                                            <a:fillRect/>
                                          </a:stretch>
                                        </pic:blipFill>
                                        <pic:spPr>
                                          <a:xfrm>
                                            <a:off x="0" y="0"/>
                                            <a:ext cx="2522220" cy="2928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95pt;margin-top:-26.95pt;width:3in;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Clqs4CAAAP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" filled="f" stroked="f">
                <v:textbox>
                  <w:txbxContent>
                    <w:p w14:paraId="7C40A408" w14:textId="77777777" w:rsidR="001528FF" w:rsidRDefault="001528FF" w:rsidP="00E02A01">
                      <w:pPr>
                        <w:jc w:val="center"/>
                      </w:pPr>
                      <w:r>
                        <w:rPr>
                          <w:noProof/>
                        </w:rPr>
                        <w:drawing>
                          <wp:inline distT="0" distB="0" distL="0" distR="0" wp14:anchorId="0B141A52" wp14:editId="1D4268D3">
                            <wp:extent cx="2522220" cy="2928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ty1.jpg"/>
                                    <pic:cNvPicPr/>
                                  </pic:nvPicPr>
                                  <pic:blipFill>
                                    <a:blip r:embed="rId9">
                                      <a:extLst>
                                        <a:ext uri="{28A0092B-C50C-407E-A947-70E740481C1C}">
                                          <a14:useLocalDpi xmlns:a14="http://schemas.microsoft.com/office/drawing/2010/main" val="0"/>
                                        </a:ext>
                                      </a:extLst>
                                    </a:blip>
                                    <a:stretch>
                                      <a:fillRect/>
                                    </a:stretch>
                                  </pic:blipFill>
                                  <pic:spPr>
                                    <a:xfrm>
                                      <a:off x="0" y="0"/>
                                      <a:ext cx="2522220" cy="2928620"/>
                                    </a:xfrm>
                                    <a:prstGeom prst="rect">
                                      <a:avLst/>
                                    </a:prstGeom>
                                  </pic:spPr>
                                </pic:pic>
                              </a:graphicData>
                            </a:graphic>
                          </wp:inline>
                        </w:drawing>
                      </w:r>
                    </w:p>
                  </w:txbxContent>
                </v:textbox>
                <w10:wrap type="square"/>
              </v:shape>
            </w:pict>
          </mc:Fallback>
        </mc:AlternateContent>
      </w:r>
    </w:p>
    <w:p w14:paraId="3D78B7A4" w14:textId="77777777" w:rsidR="00C31430" w:rsidRDefault="0034730C" w:rsidP="0034730C">
      <w:pPr>
        <w:spacing w:line="360" w:lineRule="auto"/>
        <w:jc w:val="center"/>
      </w:pPr>
      <w:r>
        <w:rPr>
          <w:noProof/>
        </w:rPr>
        <w:drawing>
          <wp:inline distT="0" distB="0" distL="0" distR="0" wp14:anchorId="468A73A7" wp14:editId="4883B7EB">
            <wp:extent cx="2781300" cy="91260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equitylogo.png"/>
                    <pic:cNvPicPr/>
                  </pic:nvPicPr>
                  <pic:blipFill>
                    <a:blip r:embed="rId10">
                      <a:extLst>
                        <a:ext uri="{28A0092B-C50C-407E-A947-70E740481C1C}">
                          <a14:useLocalDpi xmlns:a14="http://schemas.microsoft.com/office/drawing/2010/main" val="0"/>
                        </a:ext>
                      </a:extLst>
                    </a:blip>
                    <a:stretch>
                      <a:fillRect/>
                    </a:stretch>
                  </pic:blipFill>
                  <pic:spPr>
                    <a:xfrm>
                      <a:off x="0" y="0"/>
                      <a:ext cx="2782378" cy="912957"/>
                    </a:xfrm>
                    <a:prstGeom prst="rect">
                      <a:avLst/>
                    </a:prstGeom>
                  </pic:spPr>
                </pic:pic>
              </a:graphicData>
            </a:graphic>
          </wp:inline>
        </w:drawing>
      </w:r>
    </w:p>
    <w:p w14:paraId="6F9E3B5F" w14:textId="39DD621B" w:rsidR="0034730C" w:rsidRDefault="001528FF" w:rsidP="000D56F1">
      <w:pPr>
        <w:spacing w:line="360" w:lineRule="auto"/>
        <w:jc w:val="center"/>
        <w:rPr>
          <w:b/>
          <w:i/>
          <w:color w:val="008000"/>
          <w:sz w:val="36"/>
          <w:szCs w:val="36"/>
        </w:rPr>
      </w:pPr>
      <w:r>
        <w:rPr>
          <w:b/>
          <w:i/>
          <w:color w:val="008000"/>
          <w:sz w:val="36"/>
          <w:szCs w:val="36"/>
        </w:rPr>
        <w:t>The 2015 Health Equity Assessment</w:t>
      </w:r>
      <w:r w:rsidR="000D2383">
        <w:rPr>
          <w:b/>
          <w:i/>
          <w:color w:val="008000"/>
          <w:sz w:val="36"/>
          <w:szCs w:val="36"/>
        </w:rPr>
        <w:t>:  Findings and Recommendations</w:t>
      </w:r>
    </w:p>
    <w:p w14:paraId="24589CE1" w14:textId="77777777" w:rsidR="000D56F1" w:rsidRDefault="000D56F1" w:rsidP="00E02A01">
      <w:pPr>
        <w:spacing w:line="360" w:lineRule="auto"/>
      </w:pPr>
    </w:p>
    <w:p w14:paraId="50CF8642" w14:textId="07176D69" w:rsidR="002F2FD7" w:rsidRDefault="002F2FD7" w:rsidP="002F2FD7">
      <w:pPr>
        <w:widowControl w:val="0"/>
        <w:autoSpaceDE w:val="0"/>
        <w:autoSpaceDN w:val="0"/>
        <w:adjustRightInd w:val="0"/>
        <w:spacing w:after="240"/>
        <w:rPr>
          <w:rFonts w:ascii="Times" w:hAnsi="Times" w:cs="Times"/>
        </w:rPr>
      </w:pPr>
      <w:r>
        <w:rPr>
          <w:rFonts w:ascii="Calibri" w:hAnsi="Calibri" w:cs="Calibri"/>
          <w:sz w:val="32"/>
          <w:szCs w:val="32"/>
        </w:rPr>
        <w:t xml:space="preserve">The National Association of Chronic Disease Directors (NACDD) is collaborating with the National Partnership for Action to End Health Disparities, a national initiative coordinated by the Office of Minority Health </w:t>
      </w:r>
      <w:r w:rsidR="00344422">
        <w:rPr>
          <w:rFonts w:ascii="Calibri" w:hAnsi="Calibri" w:cs="Calibri"/>
          <w:sz w:val="32"/>
          <w:szCs w:val="32"/>
        </w:rPr>
        <w:t xml:space="preserve">and the Centers for Disease Control and Prevention </w:t>
      </w:r>
      <w:r>
        <w:rPr>
          <w:rFonts w:ascii="Calibri" w:hAnsi="Calibri" w:cs="Calibri"/>
          <w:sz w:val="32"/>
          <w:szCs w:val="32"/>
        </w:rPr>
        <w:t xml:space="preserve">to identify ways in which State Health Department Chronic Disease Programs can better address health disparities and promote health equity through existing programs. </w:t>
      </w:r>
      <w:r w:rsidRPr="001528FF">
        <w:rPr>
          <w:rFonts w:ascii="Calibri" w:hAnsi="Calibri" w:cs="Calibri"/>
          <w:b/>
          <w:i/>
          <w:sz w:val="32"/>
          <w:szCs w:val="32"/>
        </w:rPr>
        <w:t>In order to assess current funding for and work in health equity, current data collection and analysis, interest in new data topics, current training, and interest in additional health equity training, a team of NACDD staff with broad expertise developed and implemented the 2015 Health Equity Assessment.</w:t>
      </w:r>
      <w:r>
        <w:rPr>
          <w:rFonts w:ascii="Calibri" w:hAnsi="Calibri" w:cs="Calibri"/>
          <w:sz w:val="32"/>
          <w:szCs w:val="32"/>
        </w:rPr>
        <w:t xml:space="preserve"> </w:t>
      </w:r>
      <w:r w:rsidR="001528FF">
        <w:rPr>
          <w:rFonts w:ascii="Calibri" w:hAnsi="Calibri" w:cs="Calibri"/>
          <w:sz w:val="32"/>
          <w:szCs w:val="32"/>
        </w:rPr>
        <w:t xml:space="preserve">The Assessment was administered in June 2015 and was open to all NACDD members.  </w:t>
      </w:r>
      <w:r>
        <w:rPr>
          <w:rFonts w:ascii="Calibri" w:hAnsi="Calibri" w:cs="Calibri"/>
          <w:sz w:val="32"/>
          <w:szCs w:val="32"/>
        </w:rPr>
        <w:t>Sixty-nine respondents from 37 states/territories provided</w:t>
      </w:r>
      <w:r w:rsidR="001528FF">
        <w:rPr>
          <w:rFonts w:ascii="Calibri" w:hAnsi="Calibri" w:cs="Calibri"/>
          <w:sz w:val="32"/>
          <w:szCs w:val="32"/>
        </w:rPr>
        <w:t xml:space="preserve"> complete responses to the assessment.</w:t>
      </w:r>
    </w:p>
    <w:p w14:paraId="753B6404" w14:textId="66DD8EFC" w:rsidR="002F2FD7" w:rsidRDefault="002F2FD7" w:rsidP="002F2FD7">
      <w:pPr>
        <w:widowControl w:val="0"/>
        <w:autoSpaceDE w:val="0"/>
        <w:autoSpaceDN w:val="0"/>
        <w:adjustRightInd w:val="0"/>
        <w:spacing w:after="240"/>
        <w:rPr>
          <w:rFonts w:ascii="Times" w:hAnsi="Times" w:cs="Times"/>
        </w:rPr>
      </w:pPr>
      <w:r>
        <w:rPr>
          <w:rFonts w:ascii="Calibri" w:hAnsi="Calibri" w:cs="Calibri"/>
          <w:sz w:val="32"/>
          <w:szCs w:val="32"/>
        </w:rPr>
        <w:t xml:space="preserve">Less than half of respondents (45%) felt their health department adequately addresses health inequities in its daily work; time and funding are major barriers. Among those who have funding for health equity work, most said the funding requires only a small proportion of funding go toward health equity topics. Nonetheless, most respondents (83%) said their chronic disease division currently collects data about health disparities or social determinants of health. The BRFSS is a common data source and most chronic disease divisions work regularly </w:t>
      </w:r>
      <w:r>
        <w:rPr>
          <w:rFonts w:ascii="Calibri" w:hAnsi="Calibri" w:cs="Calibri"/>
          <w:sz w:val="32"/>
          <w:szCs w:val="32"/>
        </w:rPr>
        <w:lastRenderedPageBreak/>
        <w:t>with their BRFSS office, but only about half of respondents (54%) were aware of the Social Context module. Very few had ever used it (12%), but most reported they would be interested in the topics and endorsed many potential uses for the data, including identifying factors associated with health disparities and documenting and tracking disparities over time. Few respondents have mandatory health equity training and most felt their training was inadequate. There was broad interest in additional training on the topic.</w:t>
      </w:r>
      <w:r w:rsidR="001528FF">
        <w:rPr>
          <w:rFonts w:ascii="Calibri" w:hAnsi="Calibri" w:cs="Calibri"/>
          <w:sz w:val="32"/>
          <w:szCs w:val="32"/>
        </w:rPr>
        <w:t xml:space="preserve">  Findings from the 2015 Health Equity Assessment are provided below.  </w:t>
      </w:r>
      <w:r>
        <w:rPr>
          <w:rFonts w:ascii="Calibri" w:hAnsi="Calibri" w:cs="Calibri"/>
          <w:sz w:val="32"/>
          <w:szCs w:val="32"/>
        </w:rPr>
        <w:t>Based on these findings, NACDD recommends the following activities to increase capacity for health equity work within health departments:</w:t>
      </w:r>
    </w:p>
    <w:p w14:paraId="0278F42E" w14:textId="77777777" w:rsidR="002F2FD7" w:rsidRDefault="002F2FD7" w:rsidP="002F2FD7">
      <w:pPr>
        <w:widowControl w:val="0"/>
        <w:numPr>
          <w:ilvl w:val="0"/>
          <w:numId w:val="1"/>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b/>
          <w:bCs/>
          <w:color w:val="18376A"/>
          <w:sz w:val="32"/>
          <w:szCs w:val="32"/>
        </w:rPr>
        <w:t xml:space="preserve">Highlight current activities </w:t>
      </w:r>
      <w:r>
        <w:rPr>
          <w:rFonts w:ascii="Calibri" w:hAnsi="Calibri" w:cs="Calibri"/>
          <w:sz w:val="32"/>
          <w:szCs w:val="32"/>
        </w:rPr>
        <w:t xml:space="preserve">and capacity for health equity work in state and territorial health departments </w:t>
      </w:r>
    </w:p>
    <w:p w14:paraId="753C2C99" w14:textId="77777777" w:rsidR="002F2FD7" w:rsidRDefault="002F2FD7" w:rsidP="002F2FD7">
      <w:pPr>
        <w:widowControl w:val="0"/>
        <w:numPr>
          <w:ilvl w:val="0"/>
          <w:numId w:val="1"/>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b/>
          <w:bCs/>
          <w:color w:val="18376A"/>
          <w:sz w:val="32"/>
          <w:szCs w:val="32"/>
        </w:rPr>
        <w:t xml:space="preserve">Develop health equity training </w:t>
      </w:r>
      <w:r>
        <w:rPr>
          <w:rFonts w:ascii="Calibri" w:hAnsi="Calibri" w:cs="Calibri"/>
          <w:sz w:val="32"/>
          <w:szCs w:val="32"/>
        </w:rPr>
        <w:t xml:space="preserve">and/or planning sessions targeted to state chronic disease programs </w:t>
      </w:r>
    </w:p>
    <w:p w14:paraId="2087EA04" w14:textId="77777777" w:rsidR="002F2FD7" w:rsidRDefault="002F2FD7" w:rsidP="002F2FD7">
      <w:pPr>
        <w:widowControl w:val="0"/>
        <w:numPr>
          <w:ilvl w:val="0"/>
          <w:numId w:val="1"/>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b/>
          <w:bCs/>
          <w:color w:val="18376A"/>
          <w:sz w:val="32"/>
          <w:szCs w:val="32"/>
        </w:rPr>
        <w:t xml:space="preserve">Increase awareness of the BRFSS Social Context module and provide guidance </w:t>
      </w:r>
      <w:r>
        <w:rPr>
          <w:rFonts w:ascii="Calibri" w:hAnsi="Calibri" w:cs="Calibri"/>
          <w:sz w:val="32"/>
          <w:szCs w:val="32"/>
        </w:rPr>
        <w:t xml:space="preserve">for its use, including data analysis </w:t>
      </w:r>
    </w:p>
    <w:p w14:paraId="4EDF70F4" w14:textId="77777777" w:rsidR="00AA15CE" w:rsidRDefault="00AA15CE" w:rsidP="002F2FD7">
      <w:pPr>
        <w:widowControl w:val="0"/>
        <w:autoSpaceDE w:val="0"/>
        <w:autoSpaceDN w:val="0"/>
        <w:adjustRightInd w:val="0"/>
        <w:spacing w:after="240"/>
        <w:rPr>
          <w:rFonts w:ascii="Calibri" w:hAnsi="Calibri" w:cs="Calibri"/>
          <w:b/>
          <w:bCs/>
          <w:i/>
          <w:iCs/>
          <w:color w:val="01154D"/>
          <w:sz w:val="36"/>
          <w:szCs w:val="36"/>
        </w:rPr>
      </w:pPr>
    </w:p>
    <w:p w14:paraId="4937FBE2" w14:textId="663AE9D0" w:rsidR="001528FF" w:rsidRDefault="001528FF" w:rsidP="002F2FD7">
      <w:pPr>
        <w:widowControl w:val="0"/>
        <w:autoSpaceDE w:val="0"/>
        <w:autoSpaceDN w:val="0"/>
        <w:adjustRightInd w:val="0"/>
        <w:spacing w:after="240"/>
        <w:rPr>
          <w:rFonts w:ascii="Calibri" w:hAnsi="Calibri" w:cs="Calibri"/>
          <w:b/>
          <w:bCs/>
          <w:i/>
          <w:iCs/>
          <w:color w:val="01154D"/>
          <w:sz w:val="36"/>
          <w:szCs w:val="36"/>
        </w:rPr>
      </w:pPr>
      <w:r w:rsidRPr="001528FF">
        <w:rPr>
          <w:rFonts w:ascii="Calibri" w:hAnsi="Calibri" w:cs="Calibri"/>
          <w:b/>
          <w:bCs/>
          <w:i/>
          <w:iCs/>
          <w:color w:val="01154D"/>
          <w:sz w:val="36"/>
          <w:szCs w:val="36"/>
        </w:rPr>
        <w:t>Findings from the 2015 Health Equity Assessment</w:t>
      </w:r>
    </w:p>
    <w:p w14:paraId="6CFD11DC" w14:textId="43A3213A" w:rsidR="00AA15CE" w:rsidRPr="00AA15CE" w:rsidRDefault="001528FF" w:rsidP="002F2FD7">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The full Health Equity Assessment Report will be made available on the NACDD website in October. </w:t>
      </w:r>
    </w:p>
    <w:p w14:paraId="24964E04" w14:textId="77777777" w:rsidR="002F2FD7" w:rsidRDefault="002F2FD7" w:rsidP="002F2FD7">
      <w:pPr>
        <w:widowControl w:val="0"/>
        <w:autoSpaceDE w:val="0"/>
        <w:autoSpaceDN w:val="0"/>
        <w:adjustRightInd w:val="0"/>
        <w:spacing w:after="240"/>
        <w:rPr>
          <w:rFonts w:ascii="Times" w:hAnsi="Times" w:cs="Times"/>
        </w:rPr>
      </w:pPr>
      <w:r>
        <w:rPr>
          <w:rFonts w:ascii="Calibri" w:hAnsi="Calibri" w:cs="Calibri"/>
          <w:b/>
          <w:bCs/>
          <w:i/>
          <w:iCs/>
          <w:color w:val="01154D"/>
          <w:sz w:val="32"/>
          <w:szCs w:val="32"/>
        </w:rPr>
        <w:t>Perceptions about Current Health Equity Work</w:t>
      </w:r>
    </w:p>
    <w:p w14:paraId="704CE711" w14:textId="6F7DCCA8" w:rsidR="00AA15CE" w:rsidRDefault="002F2FD7" w:rsidP="001528FF">
      <w:pPr>
        <w:widowControl w:val="0"/>
        <w:autoSpaceDE w:val="0"/>
        <w:autoSpaceDN w:val="0"/>
        <w:adjustRightInd w:val="0"/>
        <w:spacing w:after="240"/>
        <w:rPr>
          <w:rFonts w:ascii="Calibri" w:hAnsi="Calibri" w:cs="Calibri"/>
          <w:sz w:val="30"/>
          <w:szCs w:val="30"/>
        </w:rPr>
      </w:pPr>
      <w:r>
        <w:rPr>
          <w:rFonts w:ascii="Calibri" w:hAnsi="Calibri" w:cs="Calibri"/>
          <w:sz w:val="30"/>
          <w:szCs w:val="30"/>
        </w:rPr>
        <w:t>Less than half of respondents (45%) feel their health department adequately addresses health inequities in its daily work; 46% said they feel their current work is inadequate and 9% were not sure. Among those who did not report adequately addressing health disparities, funding was the most commonly reported barrier to addr</w:t>
      </w:r>
      <w:r w:rsidR="001528FF">
        <w:rPr>
          <w:rFonts w:ascii="Calibri" w:hAnsi="Calibri" w:cs="Calibri"/>
          <w:sz w:val="30"/>
          <w:szCs w:val="30"/>
        </w:rPr>
        <w:t>essing health equities.</w:t>
      </w:r>
    </w:p>
    <w:p w14:paraId="4821432A" w14:textId="77777777" w:rsidR="00AA15CE" w:rsidRDefault="00AA15CE">
      <w:pPr>
        <w:rPr>
          <w:rFonts w:ascii="Calibri" w:hAnsi="Calibri" w:cs="Calibri"/>
          <w:sz w:val="30"/>
          <w:szCs w:val="30"/>
        </w:rPr>
      </w:pPr>
      <w:r>
        <w:rPr>
          <w:rFonts w:ascii="Calibri" w:hAnsi="Calibri" w:cs="Calibri"/>
          <w:sz w:val="30"/>
          <w:szCs w:val="30"/>
        </w:rPr>
        <w:br w:type="page"/>
      </w:r>
    </w:p>
    <w:p w14:paraId="2AE0071E" w14:textId="77777777" w:rsidR="002F2FD7" w:rsidRPr="001528FF" w:rsidRDefault="002F2FD7" w:rsidP="001528FF">
      <w:pPr>
        <w:widowControl w:val="0"/>
        <w:autoSpaceDE w:val="0"/>
        <w:autoSpaceDN w:val="0"/>
        <w:adjustRightInd w:val="0"/>
        <w:spacing w:after="240"/>
        <w:rPr>
          <w:rFonts w:ascii="Times" w:hAnsi="Times" w:cs="Times"/>
        </w:rPr>
      </w:pPr>
    </w:p>
    <w:p w14:paraId="59238E4C" w14:textId="45FE57ED" w:rsidR="002F2FD7" w:rsidRDefault="002F2FD7" w:rsidP="00AA15CE">
      <w:pPr>
        <w:widowControl w:val="0"/>
        <w:tabs>
          <w:tab w:val="left" w:pos="220"/>
          <w:tab w:val="left" w:pos="720"/>
        </w:tabs>
        <w:autoSpaceDE w:val="0"/>
        <w:autoSpaceDN w:val="0"/>
        <w:adjustRightInd w:val="0"/>
        <w:spacing w:after="320"/>
        <w:jc w:val="center"/>
        <w:rPr>
          <w:rFonts w:ascii="Symbol" w:hAnsi="Symbol" w:cs="Symbol"/>
          <w:color w:val="FFFFFF"/>
          <w:sz w:val="32"/>
          <w:szCs w:val="32"/>
        </w:rPr>
      </w:pPr>
      <w:r>
        <w:rPr>
          <w:rFonts w:ascii="Calibri" w:hAnsi="Calibri" w:cs="Calibri"/>
          <w:color w:val="18376A"/>
          <w:sz w:val="30"/>
          <w:szCs w:val="30"/>
        </w:rPr>
        <w:t>Barriers to addressing health equity in state health departments.</w:t>
      </w:r>
    </w:p>
    <w:tbl>
      <w:tblPr>
        <w:tblW w:w="4950" w:type="dxa"/>
        <w:jc w:val="center"/>
        <w:tblInd w:w="2718" w:type="dxa"/>
        <w:tblBorders>
          <w:top w:val="nil"/>
          <w:left w:val="nil"/>
          <w:right w:val="nil"/>
        </w:tblBorders>
        <w:tblLayout w:type="fixed"/>
        <w:tblLook w:val="0000" w:firstRow="0" w:lastRow="0" w:firstColumn="0" w:lastColumn="0" w:noHBand="0" w:noVBand="0"/>
      </w:tblPr>
      <w:tblGrid>
        <w:gridCol w:w="2511"/>
        <w:gridCol w:w="2439"/>
      </w:tblGrid>
      <w:tr w:rsidR="002F2FD7" w14:paraId="53158CF6" w14:textId="77777777" w:rsidTr="00AA15CE">
        <w:trPr>
          <w:jc w:val="center"/>
        </w:trPr>
        <w:tc>
          <w:tcPr>
            <w:tcW w:w="4950" w:type="dxa"/>
            <w:gridSpan w:val="2"/>
            <w:tcBorders>
              <w:top w:val="single" w:sz="8" w:space="0" w:color="678CC2"/>
              <w:left w:val="single" w:sz="8" w:space="0" w:color="698CC2"/>
              <w:bottom w:val="single" w:sz="8" w:space="0" w:color="678CC2"/>
              <w:right w:val="single" w:sz="8" w:space="0" w:color="688CC2"/>
            </w:tcBorders>
            <w:shd w:val="clear" w:color="auto" w:fill="3F6CAF"/>
            <w:tcMar>
              <w:top w:w="20" w:type="nil"/>
              <w:left w:w="20" w:type="nil"/>
              <w:bottom w:w="20" w:type="nil"/>
              <w:right w:w="20" w:type="nil"/>
            </w:tcMar>
            <w:vAlign w:val="center"/>
          </w:tcPr>
          <w:p w14:paraId="4416CF7A" w14:textId="4937E6B7"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47BA9186" wp14:editId="3D5A388A">
                  <wp:extent cx="12700" cy="127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B6DAF4C" wp14:editId="799CCE9B">
                  <wp:extent cx="12700" cy="1270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A225B4E" w14:textId="77777777" w:rsidR="002F2FD7" w:rsidRDefault="002F2FD7">
            <w:pPr>
              <w:widowControl w:val="0"/>
              <w:autoSpaceDE w:val="0"/>
              <w:autoSpaceDN w:val="0"/>
              <w:adjustRightInd w:val="0"/>
              <w:spacing w:after="240"/>
              <w:rPr>
                <w:rFonts w:ascii="Times" w:hAnsi="Times" w:cs="Times"/>
              </w:rPr>
            </w:pPr>
            <w:r>
              <w:rPr>
                <w:rFonts w:ascii="Calibri" w:hAnsi="Calibri" w:cs="Calibri"/>
                <w:b/>
                <w:bCs/>
                <w:color w:val="FFFFFF"/>
                <w:sz w:val="30"/>
                <w:szCs w:val="30"/>
              </w:rPr>
              <w:t>Respondents who Identified Barrier Barrier (n=38)</w:t>
            </w:r>
          </w:p>
        </w:tc>
      </w:tr>
      <w:tr w:rsidR="002F2FD7" w14:paraId="6154161B" w14:textId="77777777" w:rsidTr="00AA15CE">
        <w:tblPrEx>
          <w:tblBorders>
            <w:top w:val="none" w:sz="0" w:space="0" w:color="auto"/>
          </w:tblBorders>
        </w:tblPrEx>
        <w:trPr>
          <w:jc w:val="center"/>
        </w:trPr>
        <w:tc>
          <w:tcPr>
            <w:tcW w:w="2511" w:type="dxa"/>
            <w:tcBorders>
              <w:top w:val="single" w:sz="8" w:space="0" w:color="678CC2"/>
              <w:left w:val="single" w:sz="8" w:space="0" w:color="698CC2"/>
              <w:bottom w:val="single" w:sz="8" w:space="0" w:color="678CC2"/>
              <w:right w:val="single" w:sz="8" w:space="0" w:color="698CC2"/>
            </w:tcBorders>
            <w:shd w:val="clear" w:color="auto" w:fill="C9D7EA"/>
            <w:tcMar>
              <w:top w:w="20" w:type="nil"/>
              <w:left w:w="20" w:type="nil"/>
              <w:bottom w:w="20" w:type="nil"/>
              <w:right w:w="20" w:type="nil"/>
            </w:tcMar>
            <w:vAlign w:val="center"/>
          </w:tcPr>
          <w:p w14:paraId="7CCD9A19" w14:textId="652FDD18"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19EAECD9" wp14:editId="761D82CD">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B29DBB8" w14:textId="048A86DE" w:rsidR="002F2FD7" w:rsidRDefault="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Not enough time </w:t>
            </w:r>
          </w:p>
        </w:tc>
        <w:tc>
          <w:tcPr>
            <w:tcW w:w="2439" w:type="dxa"/>
            <w:tcBorders>
              <w:top w:val="single" w:sz="8" w:space="0" w:color="678CC2"/>
              <w:left w:val="single" w:sz="8" w:space="0" w:color="698CC2"/>
              <w:bottom w:val="single" w:sz="8" w:space="0" w:color="678CC2"/>
              <w:right w:val="single" w:sz="8" w:space="0" w:color="698CC2"/>
            </w:tcBorders>
            <w:shd w:val="clear" w:color="auto" w:fill="C9D7EA"/>
            <w:vAlign w:val="center"/>
          </w:tcPr>
          <w:p w14:paraId="17C45095" w14:textId="5164A7FF" w:rsidR="002F2FD7" w:rsidRPr="002F2FD7" w:rsidRDefault="002F2FD7">
            <w:pPr>
              <w:widowControl w:val="0"/>
              <w:autoSpaceDE w:val="0"/>
              <w:autoSpaceDN w:val="0"/>
              <w:adjustRightInd w:val="0"/>
              <w:rPr>
                <w:rFonts w:asciiTheme="majorHAnsi" w:hAnsiTheme="majorHAnsi" w:cs="Times"/>
                <w:b/>
                <w:sz w:val="30"/>
                <w:szCs w:val="30"/>
              </w:rPr>
            </w:pPr>
            <w:r w:rsidRPr="002F2FD7">
              <w:rPr>
                <w:rFonts w:asciiTheme="majorHAnsi" w:hAnsiTheme="majorHAnsi" w:cs="Times"/>
                <w:b/>
                <w:noProof/>
                <w:sz w:val="30"/>
                <w:szCs w:val="30"/>
              </w:rPr>
              <w:drawing>
                <wp:inline distT="0" distB="0" distL="0" distR="0" wp14:anchorId="648D0C6F" wp14:editId="7CDF7BC6">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F2FD7">
              <w:rPr>
                <w:rFonts w:asciiTheme="majorHAnsi" w:hAnsiTheme="majorHAnsi" w:cs="Times"/>
                <w:b/>
                <w:sz w:val="30"/>
                <w:szCs w:val="30"/>
              </w:rPr>
              <w:t>39%</w:t>
            </w:r>
          </w:p>
        </w:tc>
      </w:tr>
      <w:tr w:rsidR="002F2FD7" w14:paraId="660D85A5" w14:textId="77777777" w:rsidTr="00AA15CE">
        <w:tblPrEx>
          <w:tblBorders>
            <w:top w:val="none" w:sz="0" w:space="0" w:color="auto"/>
          </w:tblBorders>
        </w:tblPrEx>
        <w:trPr>
          <w:jc w:val="center"/>
        </w:trPr>
        <w:tc>
          <w:tcPr>
            <w:tcW w:w="2511" w:type="dxa"/>
            <w:tcBorders>
              <w:top w:val="single" w:sz="8" w:space="0" w:color="678CC2"/>
              <w:left w:val="single" w:sz="8" w:space="0" w:color="698CC2"/>
              <w:bottom w:val="single" w:sz="8" w:space="0" w:color="678CC2"/>
              <w:right w:val="single" w:sz="8" w:space="0" w:color="698CC2"/>
            </w:tcBorders>
            <w:tcMar>
              <w:top w:w="20" w:type="nil"/>
              <w:left w:w="20" w:type="nil"/>
              <w:bottom w:w="20" w:type="nil"/>
              <w:right w:w="20" w:type="nil"/>
            </w:tcMar>
            <w:vAlign w:val="center"/>
          </w:tcPr>
          <w:p w14:paraId="3948053C" w14:textId="0CF8F953" w:rsidR="002F2FD7" w:rsidRDefault="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Not enough funding </w:t>
            </w:r>
          </w:p>
        </w:tc>
        <w:tc>
          <w:tcPr>
            <w:tcW w:w="2439" w:type="dxa"/>
            <w:tcBorders>
              <w:top w:val="single" w:sz="8" w:space="0" w:color="678CC2"/>
              <w:left w:val="single" w:sz="8" w:space="0" w:color="698CC2"/>
              <w:bottom w:val="single" w:sz="8" w:space="0" w:color="678CC2"/>
              <w:right w:val="single" w:sz="8" w:space="0" w:color="698CC2"/>
            </w:tcBorders>
            <w:vAlign w:val="center"/>
          </w:tcPr>
          <w:p w14:paraId="5C6D3EC2" w14:textId="72873577" w:rsidR="002F2FD7" w:rsidRPr="002F2FD7" w:rsidRDefault="002F2FD7">
            <w:pPr>
              <w:widowControl w:val="0"/>
              <w:autoSpaceDE w:val="0"/>
              <w:autoSpaceDN w:val="0"/>
              <w:adjustRightInd w:val="0"/>
              <w:rPr>
                <w:rFonts w:asciiTheme="majorHAnsi" w:hAnsiTheme="majorHAnsi" w:cs="Times"/>
                <w:b/>
                <w:sz w:val="30"/>
                <w:szCs w:val="30"/>
              </w:rPr>
            </w:pPr>
            <w:r w:rsidRPr="002F2FD7">
              <w:rPr>
                <w:rFonts w:asciiTheme="majorHAnsi" w:hAnsiTheme="majorHAnsi" w:cs="Times"/>
                <w:b/>
                <w:noProof/>
                <w:sz w:val="30"/>
                <w:szCs w:val="30"/>
              </w:rPr>
              <w:drawing>
                <wp:inline distT="0" distB="0" distL="0" distR="0" wp14:anchorId="1222E2BB" wp14:editId="69B38205">
                  <wp:extent cx="12700" cy="127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F2FD7">
              <w:rPr>
                <w:rFonts w:asciiTheme="majorHAnsi" w:hAnsiTheme="majorHAnsi" w:cs="Times"/>
                <w:b/>
                <w:sz w:val="30"/>
                <w:szCs w:val="30"/>
              </w:rPr>
              <w:t>61%</w:t>
            </w:r>
          </w:p>
        </w:tc>
      </w:tr>
      <w:tr w:rsidR="002F2FD7" w14:paraId="2D6B937F" w14:textId="77777777" w:rsidTr="00AA15CE">
        <w:tblPrEx>
          <w:tblBorders>
            <w:top w:val="none" w:sz="0" w:space="0" w:color="auto"/>
          </w:tblBorders>
        </w:tblPrEx>
        <w:trPr>
          <w:jc w:val="center"/>
        </w:trPr>
        <w:tc>
          <w:tcPr>
            <w:tcW w:w="2511" w:type="dxa"/>
            <w:tcBorders>
              <w:top w:val="single" w:sz="8" w:space="0" w:color="678CC2"/>
              <w:left w:val="single" w:sz="8" w:space="0" w:color="688DC2"/>
              <w:bottom w:val="single" w:sz="8" w:space="0" w:color="678CC2"/>
              <w:right w:val="single" w:sz="8" w:space="0" w:color="688DC2"/>
            </w:tcBorders>
            <w:shd w:val="clear" w:color="auto" w:fill="C9D7EA"/>
            <w:tcMar>
              <w:top w:w="20" w:type="nil"/>
              <w:left w:w="20" w:type="nil"/>
              <w:bottom w:w="20" w:type="nil"/>
              <w:right w:w="20" w:type="nil"/>
            </w:tcMar>
            <w:vAlign w:val="center"/>
          </w:tcPr>
          <w:p w14:paraId="5664B749" w14:textId="77777777" w:rsidR="002F2FD7" w:rsidRDefault="002F2FD7">
            <w:pPr>
              <w:widowControl w:val="0"/>
              <w:autoSpaceDE w:val="0"/>
              <w:autoSpaceDN w:val="0"/>
              <w:adjustRightInd w:val="0"/>
              <w:spacing w:after="240"/>
              <w:rPr>
                <w:rFonts w:ascii="Times" w:hAnsi="Times" w:cs="Times"/>
              </w:rPr>
            </w:pPr>
            <w:r>
              <w:rPr>
                <w:rFonts w:ascii="Calibri" w:hAnsi="Calibri" w:cs="Calibri"/>
                <w:b/>
                <w:bCs/>
                <w:sz w:val="30"/>
                <w:szCs w:val="30"/>
              </w:rPr>
              <w:t>Not enough training on health equity</w:t>
            </w:r>
          </w:p>
        </w:tc>
        <w:tc>
          <w:tcPr>
            <w:tcW w:w="2439" w:type="dxa"/>
            <w:tcBorders>
              <w:top w:val="single" w:sz="8" w:space="0" w:color="678CC2"/>
              <w:left w:val="single" w:sz="8" w:space="0" w:color="688DC2"/>
              <w:bottom w:val="single" w:sz="8" w:space="0" w:color="678CC2"/>
              <w:right w:val="single" w:sz="8" w:space="0" w:color="688DC2"/>
            </w:tcBorders>
            <w:shd w:val="clear" w:color="auto" w:fill="C9D7EA"/>
            <w:vAlign w:val="center"/>
          </w:tcPr>
          <w:p w14:paraId="662ED343" w14:textId="44DC66E8" w:rsidR="002F2FD7" w:rsidRPr="002F2FD7" w:rsidRDefault="002F2FD7">
            <w:pPr>
              <w:widowControl w:val="0"/>
              <w:autoSpaceDE w:val="0"/>
              <w:autoSpaceDN w:val="0"/>
              <w:adjustRightInd w:val="0"/>
              <w:spacing w:after="240"/>
              <w:rPr>
                <w:rFonts w:asciiTheme="majorHAnsi" w:hAnsiTheme="majorHAnsi" w:cs="Times"/>
                <w:b/>
                <w:sz w:val="30"/>
                <w:szCs w:val="30"/>
              </w:rPr>
            </w:pPr>
            <w:r w:rsidRPr="002F2FD7">
              <w:rPr>
                <w:rFonts w:asciiTheme="majorHAnsi" w:hAnsiTheme="majorHAnsi" w:cs="Calibri"/>
                <w:b/>
                <w:sz w:val="30"/>
                <w:szCs w:val="30"/>
              </w:rPr>
              <w:t>58%</w:t>
            </w:r>
          </w:p>
        </w:tc>
      </w:tr>
      <w:tr w:rsidR="002F2FD7" w14:paraId="269DD34A" w14:textId="77777777" w:rsidTr="00AA15CE">
        <w:tblPrEx>
          <w:tblBorders>
            <w:top w:val="none" w:sz="0" w:space="0" w:color="auto"/>
          </w:tblBorders>
        </w:tblPrEx>
        <w:trPr>
          <w:jc w:val="center"/>
        </w:trPr>
        <w:tc>
          <w:tcPr>
            <w:tcW w:w="2511" w:type="dxa"/>
            <w:tcBorders>
              <w:top w:val="single" w:sz="8" w:space="0" w:color="678CC2"/>
              <w:left w:val="single" w:sz="8" w:space="0" w:color="698CC2"/>
              <w:bottom w:val="single" w:sz="8" w:space="0" w:color="678CC2"/>
              <w:right w:val="single" w:sz="8" w:space="0" w:color="698CC2"/>
            </w:tcBorders>
            <w:tcMar>
              <w:top w:w="20" w:type="nil"/>
              <w:left w:w="20" w:type="nil"/>
              <w:bottom w:w="20" w:type="nil"/>
              <w:right w:w="20" w:type="nil"/>
            </w:tcMar>
            <w:vAlign w:val="center"/>
          </w:tcPr>
          <w:p w14:paraId="13064708" w14:textId="34943407"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5F60E2B1" wp14:editId="3A67A0E5">
                  <wp:extent cx="12700" cy="127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1487EB2" w14:textId="4C78898E" w:rsidR="002F2FD7" w:rsidRDefault="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Not a priority </w:t>
            </w:r>
          </w:p>
        </w:tc>
        <w:tc>
          <w:tcPr>
            <w:tcW w:w="2439" w:type="dxa"/>
            <w:tcBorders>
              <w:top w:val="single" w:sz="8" w:space="0" w:color="678CC2"/>
              <w:left w:val="single" w:sz="8" w:space="0" w:color="698CC2"/>
              <w:bottom w:val="single" w:sz="8" w:space="0" w:color="678CC2"/>
              <w:right w:val="single" w:sz="8" w:space="0" w:color="698CC2"/>
            </w:tcBorders>
            <w:vAlign w:val="center"/>
          </w:tcPr>
          <w:p w14:paraId="0B03AA02" w14:textId="481B0726" w:rsidR="002F2FD7" w:rsidRPr="002F2FD7" w:rsidRDefault="002F2FD7">
            <w:pPr>
              <w:widowControl w:val="0"/>
              <w:autoSpaceDE w:val="0"/>
              <w:autoSpaceDN w:val="0"/>
              <w:adjustRightInd w:val="0"/>
              <w:rPr>
                <w:rFonts w:asciiTheme="majorHAnsi" w:hAnsiTheme="majorHAnsi" w:cs="Times"/>
                <w:b/>
                <w:sz w:val="30"/>
                <w:szCs w:val="30"/>
              </w:rPr>
            </w:pPr>
            <w:r w:rsidRPr="002F2FD7">
              <w:rPr>
                <w:rFonts w:asciiTheme="majorHAnsi" w:hAnsiTheme="majorHAnsi" w:cs="Times"/>
                <w:b/>
                <w:noProof/>
                <w:sz w:val="30"/>
                <w:szCs w:val="30"/>
              </w:rPr>
              <w:drawing>
                <wp:inline distT="0" distB="0" distL="0" distR="0" wp14:anchorId="22E59A70" wp14:editId="722AB15B">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F2FD7">
              <w:rPr>
                <w:rFonts w:asciiTheme="majorHAnsi" w:hAnsiTheme="majorHAnsi" w:cs="Times"/>
                <w:b/>
                <w:sz w:val="30"/>
                <w:szCs w:val="30"/>
              </w:rPr>
              <w:t>26%</w:t>
            </w:r>
          </w:p>
        </w:tc>
      </w:tr>
      <w:tr w:rsidR="002F2FD7" w14:paraId="3F94BAC6" w14:textId="77777777" w:rsidTr="00AA15CE">
        <w:tblPrEx>
          <w:tblBorders>
            <w:top w:val="none" w:sz="0" w:space="0" w:color="auto"/>
          </w:tblBorders>
        </w:tblPrEx>
        <w:trPr>
          <w:jc w:val="center"/>
        </w:trPr>
        <w:tc>
          <w:tcPr>
            <w:tcW w:w="2511" w:type="dxa"/>
            <w:tcBorders>
              <w:top w:val="single" w:sz="8" w:space="0" w:color="678CC2"/>
              <w:left w:val="single" w:sz="8" w:space="0" w:color="698CC2"/>
              <w:bottom w:val="single" w:sz="8" w:space="0" w:color="678CC2"/>
              <w:right w:val="single" w:sz="8" w:space="0" w:color="698CC2"/>
            </w:tcBorders>
            <w:shd w:val="clear" w:color="auto" w:fill="C9D7EA"/>
            <w:tcMar>
              <w:top w:w="20" w:type="nil"/>
              <w:left w:w="20" w:type="nil"/>
              <w:bottom w:w="20" w:type="nil"/>
              <w:right w:w="20" w:type="nil"/>
            </w:tcMar>
            <w:vAlign w:val="center"/>
          </w:tcPr>
          <w:p w14:paraId="17233866" w14:textId="08223802" w:rsidR="002F2FD7" w:rsidRDefault="002F2FD7">
            <w:pPr>
              <w:widowControl w:val="0"/>
              <w:autoSpaceDE w:val="0"/>
              <w:autoSpaceDN w:val="0"/>
              <w:adjustRightInd w:val="0"/>
              <w:spacing w:after="240"/>
              <w:rPr>
                <w:rFonts w:ascii="Times" w:hAnsi="Times" w:cs="Times"/>
              </w:rPr>
            </w:pPr>
            <w:r>
              <w:rPr>
                <w:rFonts w:ascii="Calibri" w:hAnsi="Calibri" w:cs="Calibri"/>
                <w:b/>
                <w:bCs/>
                <w:sz w:val="30"/>
                <w:szCs w:val="30"/>
              </w:rPr>
              <w:t>Other</w:t>
            </w:r>
          </w:p>
        </w:tc>
        <w:tc>
          <w:tcPr>
            <w:tcW w:w="2439" w:type="dxa"/>
            <w:tcBorders>
              <w:top w:val="single" w:sz="8" w:space="0" w:color="678CC2"/>
              <w:left w:val="single" w:sz="8" w:space="0" w:color="698CC2"/>
              <w:bottom w:val="single" w:sz="8" w:space="0" w:color="678CC2"/>
              <w:right w:val="single" w:sz="8" w:space="0" w:color="698CC2"/>
            </w:tcBorders>
            <w:shd w:val="clear" w:color="auto" w:fill="C9D7EA"/>
            <w:vAlign w:val="center"/>
          </w:tcPr>
          <w:p w14:paraId="0FBF7914" w14:textId="4FEE0C74" w:rsidR="002F2FD7" w:rsidRPr="002F2FD7" w:rsidRDefault="002F2FD7">
            <w:pPr>
              <w:widowControl w:val="0"/>
              <w:autoSpaceDE w:val="0"/>
              <w:autoSpaceDN w:val="0"/>
              <w:adjustRightInd w:val="0"/>
              <w:spacing w:after="240"/>
              <w:rPr>
                <w:rFonts w:asciiTheme="majorHAnsi" w:hAnsiTheme="majorHAnsi" w:cs="Times"/>
                <w:b/>
                <w:sz w:val="30"/>
                <w:szCs w:val="30"/>
              </w:rPr>
            </w:pPr>
            <w:r w:rsidRPr="002F2FD7">
              <w:rPr>
                <w:rFonts w:asciiTheme="majorHAnsi" w:hAnsiTheme="majorHAnsi" w:cs="Times"/>
                <w:b/>
                <w:sz w:val="30"/>
                <w:szCs w:val="30"/>
              </w:rPr>
              <w:t>21%</w:t>
            </w:r>
          </w:p>
        </w:tc>
      </w:tr>
      <w:tr w:rsidR="002F2FD7" w14:paraId="267285D1" w14:textId="77777777" w:rsidTr="00AA15CE">
        <w:trPr>
          <w:jc w:val="center"/>
        </w:trPr>
        <w:tc>
          <w:tcPr>
            <w:tcW w:w="2511" w:type="dxa"/>
            <w:tcBorders>
              <w:top w:val="single" w:sz="8" w:space="0" w:color="678CC2"/>
              <w:left w:val="single" w:sz="8" w:space="0" w:color="698CC2"/>
              <w:bottom w:val="single" w:sz="8" w:space="0" w:color="678CC2"/>
              <w:right w:val="single" w:sz="8" w:space="0" w:color="698CC2"/>
            </w:tcBorders>
            <w:tcMar>
              <w:top w:w="20" w:type="nil"/>
              <w:left w:w="20" w:type="nil"/>
              <w:bottom w:w="20" w:type="nil"/>
              <w:right w:w="20" w:type="nil"/>
            </w:tcMar>
            <w:vAlign w:val="center"/>
          </w:tcPr>
          <w:p w14:paraId="08244567" w14:textId="061343A9"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5D627102" wp14:editId="37732489">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w:b/>
                <w:bCs/>
                <w:sz w:val="30"/>
                <w:szCs w:val="30"/>
              </w:rPr>
              <w:t xml:space="preserve"> Don’t know</w:t>
            </w:r>
          </w:p>
        </w:tc>
        <w:tc>
          <w:tcPr>
            <w:tcW w:w="2439" w:type="dxa"/>
            <w:tcBorders>
              <w:top w:val="single" w:sz="8" w:space="0" w:color="678CC2"/>
              <w:left w:val="single" w:sz="8" w:space="0" w:color="698CC2"/>
              <w:bottom w:val="single" w:sz="8" w:space="0" w:color="678CC2"/>
              <w:right w:val="single" w:sz="8" w:space="0" w:color="698CC2"/>
            </w:tcBorders>
            <w:vAlign w:val="center"/>
          </w:tcPr>
          <w:p w14:paraId="48029748" w14:textId="4D9E768F" w:rsidR="002F2FD7" w:rsidRPr="002F2FD7" w:rsidRDefault="002F2FD7">
            <w:pPr>
              <w:widowControl w:val="0"/>
              <w:autoSpaceDE w:val="0"/>
              <w:autoSpaceDN w:val="0"/>
              <w:adjustRightInd w:val="0"/>
              <w:spacing w:after="240"/>
              <w:rPr>
                <w:rFonts w:asciiTheme="majorHAnsi" w:hAnsiTheme="majorHAnsi" w:cs="Times"/>
                <w:b/>
                <w:sz w:val="30"/>
                <w:szCs w:val="30"/>
              </w:rPr>
            </w:pPr>
            <w:r w:rsidRPr="002F2FD7">
              <w:rPr>
                <w:rFonts w:asciiTheme="majorHAnsi" w:hAnsiTheme="majorHAnsi" w:cs="Calibri"/>
                <w:b/>
                <w:sz w:val="30"/>
                <w:szCs w:val="30"/>
              </w:rPr>
              <w:t>5%</w:t>
            </w:r>
          </w:p>
        </w:tc>
      </w:tr>
    </w:tbl>
    <w:p w14:paraId="08AC8A7A" w14:textId="33EE927A" w:rsidR="002F2FD7" w:rsidRPr="001528FF" w:rsidRDefault="001F0137" w:rsidP="00E02A01">
      <w:pPr>
        <w:spacing w:line="360" w:lineRule="auto"/>
        <w:rPr>
          <w:iCs/>
          <w:u w:val="single"/>
        </w:rPr>
      </w:pPr>
      <w:r>
        <w:rPr>
          <w:iCs/>
        </w:rPr>
        <w:t xml:space="preserve"> </w:t>
      </w:r>
    </w:p>
    <w:p w14:paraId="5630C2FE" w14:textId="77777777" w:rsidR="00344422" w:rsidRDefault="00344422" w:rsidP="002F2FD7">
      <w:pPr>
        <w:widowControl w:val="0"/>
        <w:autoSpaceDE w:val="0"/>
        <w:autoSpaceDN w:val="0"/>
        <w:adjustRightInd w:val="0"/>
        <w:spacing w:after="240"/>
        <w:rPr>
          <w:rFonts w:ascii="Calibri" w:hAnsi="Calibri" w:cs="Calibri"/>
          <w:b/>
          <w:bCs/>
          <w:i/>
          <w:iCs/>
          <w:color w:val="01154D"/>
          <w:sz w:val="32"/>
          <w:szCs w:val="32"/>
        </w:rPr>
      </w:pPr>
    </w:p>
    <w:p w14:paraId="5AAE3383" w14:textId="77777777" w:rsidR="002F2FD7" w:rsidRDefault="002F2FD7" w:rsidP="002F2FD7">
      <w:pPr>
        <w:widowControl w:val="0"/>
        <w:autoSpaceDE w:val="0"/>
        <w:autoSpaceDN w:val="0"/>
        <w:adjustRightInd w:val="0"/>
        <w:spacing w:after="240"/>
        <w:rPr>
          <w:rFonts w:ascii="Times" w:hAnsi="Times" w:cs="Times"/>
        </w:rPr>
      </w:pPr>
      <w:r>
        <w:rPr>
          <w:rFonts w:ascii="Calibri" w:hAnsi="Calibri" w:cs="Calibri"/>
          <w:b/>
          <w:bCs/>
          <w:i/>
          <w:iCs/>
          <w:color w:val="01154D"/>
          <w:sz w:val="32"/>
          <w:szCs w:val="32"/>
        </w:rPr>
        <w:t>Data about Health Equity</w:t>
      </w:r>
    </w:p>
    <w:p w14:paraId="7A08D059" w14:textId="77777777" w:rsidR="00AA15CE" w:rsidRDefault="002F2FD7" w:rsidP="002F2FD7">
      <w:pPr>
        <w:widowControl w:val="0"/>
        <w:autoSpaceDE w:val="0"/>
        <w:autoSpaceDN w:val="0"/>
        <w:adjustRightInd w:val="0"/>
        <w:spacing w:after="240"/>
        <w:rPr>
          <w:rFonts w:ascii="Calibri" w:hAnsi="Calibri" w:cs="Calibri"/>
          <w:sz w:val="30"/>
          <w:szCs w:val="30"/>
        </w:rPr>
      </w:pPr>
      <w:r>
        <w:rPr>
          <w:rFonts w:ascii="Calibri" w:hAnsi="Calibri" w:cs="Calibri"/>
          <w:sz w:val="30"/>
          <w:szCs w:val="30"/>
        </w:rPr>
        <w:t>Most respondents (83%) said their chronic disease division currently collects data about health disparities or</w:t>
      </w:r>
      <w:r w:rsidR="001528FF">
        <w:rPr>
          <w:rFonts w:ascii="Calibri" w:hAnsi="Calibri" w:cs="Calibri"/>
          <w:sz w:val="30"/>
          <w:szCs w:val="30"/>
        </w:rPr>
        <w:t xml:space="preserve"> social determinants of health.</w:t>
      </w:r>
      <w:r>
        <w:rPr>
          <w:rFonts w:ascii="Calibri" w:hAnsi="Calibri" w:cs="Calibri"/>
          <w:sz w:val="30"/>
          <w:szCs w:val="30"/>
        </w:rPr>
        <w:t xml:space="preserve"> Commonly used data sources include the Behavioral Risk Factor Surveillance System (BRFSS; 89%), Census (61%), and vital statistics records (54%).</w:t>
      </w:r>
    </w:p>
    <w:p w14:paraId="5E1A5124" w14:textId="77777777" w:rsidR="00AA15CE" w:rsidRDefault="00AA15CE">
      <w:pPr>
        <w:rPr>
          <w:rFonts w:ascii="Calibri" w:hAnsi="Calibri" w:cs="Calibri"/>
          <w:sz w:val="30"/>
          <w:szCs w:val="30"/>
        </w:rPr>
      </w:pPr>
      <w:r>
        <w:rPr>
          <w:rFonts w:ascii="Calibri" w:hAnsi="Calibri" w:cs="Calibri"/>
          <w:sz w:val="30"/>
          <w:szCs w:val="30"/>
        </w:rPr>
        <w:br w:type="page"/>
      </w:r>
      <w:bookmarkStart w:id="0" w:name="_GoBack"/>
      <w:bookmarkEnd w:id="0"/>
    </w:p>
    <w:p w14:paraId="2775DB26" w14:textId="3F2DE0EA" w:rsidR="002F2FD7" w:rsidRPr="00AA15CE" w:rsidRDefault="002F2FD7" w:rsidP="00AA15CE">
      <w:pPr>
        <w:widowControl w:val="0"/>
        <w:autoSpaceDE w:val="0"/>
        <w:autoSpaceDN w:val="0"/>
        <w:adjustRightInd w:val="0"/>
        <w:spacing w:after="240"/>
        <w:jc w:val="center"/>
        <w:rPr>
          <w:rFonts w:ascii="Calibri" w:hAnsi="Calibri" w:cs="Calibri"/>
          <w:sz w:val="30"/>
          <w:szCs w:val="30"/>
        </w:rPr>
      </w:pPr>
      <w:r>
        <w:rPr>
          <w:rFonts w:ascii="Calibri" w:hAnsi="Calibri" w:cs="Calibri"/>
          <w:color w:val="18376A"/>
          <w:sz w:val="30"/>
          <w:szCs w:val="30"/>
        </w:rPr>
        <w:t>Information currently collected about health disparities or social determinants of health.</w:t>
      </w:r>
    </w:p>
    <w:tbl>
      <w:tblPr>
        <w:tblW w:w="5778" w:type="dxa"/>
        <w:jc w:val="center"/>
        <w:tblBorders>
          <w:top w:val="nil"/>
          <w:left w:val="nil"/>
          <w:right w:val="nil"/>
        </w:tblBorders>
        <w:tblLayout w:type="fixed"/>
        <w:tblLook w:val="0000" w:firstRow="0" w:lastRow="0" w:firstColumn="0" w:lastColumn="0" w:noHBand="0" w:noVBand="0"/>
      </w:tblPr>
      <w:tblGrid>
        <w:gridCol w:w="4370"/>
        <w:gridCol w:w="1408"/>
      </w:tblGrid>
      <w:tr w:rsidR="002F2FD7" w14:paraId="3F1CF370" w14:textId="77777777" w:rsidTr="00AA15CE">
        <w:trPr>
          <w:jc w:val="center"/>
        </w:trPr>
        <w:tc>
          <w:tcPr>
            <w:tcW w:w="5778" w:type="dxa"/>
            <w:gridSpan w:val="2"/>
            <w:tcBorders>
              <w:top w:val="single" w:sz="8" w:space="0" w:color="688DC3"/>
              <w:left w:val="single" w:sz="8" w:space="0" w:color="688CC2"/>
              <w:bottom w:val="single" w:sz="8" w:space="0" w:color="688DC3"/>
              <w:right w:val="single" w:sz="8" w:space="0" w:color="688DC2"/>
            </w:tcBorders>
            <w:shd w:val="clear" w:color="auto" w:fill="3F6CAF"/>
            <w:tcMar>
              <w:top w:w="20" w:type="nil"/>
              <w:left w:w="20" w:type="nil"/>
              <w:bottom w:w="20" w:type="nil"/>
              <w:right w:w="20" w:type="nil"/>
            </w:tcMar>
            <w:vAlign w:val="center"/>
          </w:tcPr>
          <w:p w14:paraId="6F64F5A0" w14:textId="15C74806"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2664E029" wp14:editId="3DD454D5">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6F841F7" wp14:editId="6E007C46">
                  <wp:extent cx="127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F2FFD81" w14:textId="77777777" w:rsidR="002F2FD7" w:rsidRDefault="002F2FD7">
            <w:pPr>
              <w:widowControl w:val="0"/>
              <w:autoSpaceDE w:val="0"/>
              <w:autoSpaceDN w:val="0"/>
              <w:adjustRightInd w:val="0"/>
              <w:spacing w:after="240"/>
              <w:rPr>
                <w:rFonts w:ascii="Times" w:hAnsi="Times" w:cs="Times"/>
              </w:rPr>
            </w:pPr>
            <w:r>
              <w:rPr>
                <w:rFonts w:ascii="Calibri" w:hAnsi="Calibri" w:cs="Calibri"/>
                <w:b/>
                <w:bCs/>
                <w:color w:val="FFFFFF"/>
                <w:sz w:val="30"/>
                <w:szCs w:val="30"/>
              </w:rPr>
              <w:t>Topic or Population Respondents who Reported Collecting Data (n=57)</w:t>
            </w:r>
          </w:p>
        </w:tc>
      </w:tr>
      <w:tr w:rsidR="002F2FD7" w14:paraId="0406E610" w14:textId="77777777" w:rsidTr="00AA15CE">
        <w:tblPrEx>
          <w:tblBorders>
            <w:top w:val="none" w:sz="0" w:space="0" w:color="auto"/>
          </w:tblBorders>
        </w:tblPrEx>
        <w:trPr>
          <w:jc w:val="center"/>
        </w:trPr>
        <w:tc>
          <w:tcPr>
            <w:tcW w:w="4370" w:type="dxa"/>
            <w:tcBorders>
              <w:top w:val="single" w:sz="8" w:space="0" w:color="688DC3"/>
              <w:left w:val="single" w:sz="8" w:space="0" w:color="688DC0"/>
              <w:bottom w:val="single" w:sz="8" w:space="0" w:color="688DC3"/>
              <w:right w:val="single" w:sz="8" w:space="0" w:color="698CC2"/>
            </w:tcBorders>
            <w:shd w:val="clear" w:color="auto" w:fill="C9D7EA"/>
            <w:tcMar>
              <w:top w:w="20" w:type="nil"/>
              <w:left w:w="20" w:type="nil"/>
              <w:bottom w:w="20" w:type="nil"/>
              <w:right w:w="20" w:type="nil"/>
            </w:tcMar>
            <w:vAlign w:val="center"/>
          </w:tcPr>
          <w:p w14:paraId="54B3E4A8" w14:textId="046D2AB4"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7D0755A0" wp14:editId="687FA86C">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AB3E319" w14:textId="26FC85E1"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Employment, occupation, hours worked </w:t>
            </w:r>
          </w:p>
        </w:tc>
        <w:tc>
          <w:tcPr>
            <w:tcW w:w="1408" w:type="dxa"/>
            <w:tcBorders>
              <w:top w:val="single" w:sz="8" w:space="0" w:color="688DC3"/>
              <w:left w:val="single" w:sz="8" w:space="0" w:color="688DC0"/>
              <w:bottom w:val="single" w:sz="8" w:space="0" w:color="688DC3"/>
              <w:right w:val="single" w:sz="8" w:space="0" w:color="698CC2"/>
            </w:tcBorders>
            <w:shd w:val="clear" w:color="auto" w:fill="C9D7EA"/>
            <w:vAlign w:val="center"/>
          </w:tcPr>
          <w:p w14:paraId="0957AFFB" w14:textId="40A8C4D5"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1D6CE479" wp14:editId="017E7124">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585A77B" wp14:editId="77A8212B">
                  <wp:extent cx="12700" cy="1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w:sz w:val="30"/>
                <w:szCs w:val="30"/>
              </w:rPr>
              <w:t>40%</w:t>
            </w:r>
          </w:p>
        </w:tc>
      </w:tr>
      <w:tr w:rsidR="002F2FD7" w14:paraId="06354E12" w14:textId="77777777" w:rsidTr="00AA15CE">
        <w:tblPrEx>
          <w:tblBorders>
            <w:top w:val="none" w:sz="0" w:space="0" w:color="auto"/>
          </w:tblBorders>
        </w:tblPrEx>
        <w:trPr>
          <w:jc w:val="center"/>
        </w:trPr>
        <w:tc>
          <w:tcPr>
            <w:tcW w:w="4370" w:type="dxa"/>
            <w:tcBorders>
              <w:top w:val="single" w:sz="8" w:space="0" w:color="688DC3"/>
              <w:left w:val="single" w:sz="8" w:space="0" w:color="698DC3"/>
              <w:bottom w:val="single" w:sz="8" w:space="0" w:color="688DC3"/>
              <w:right w:val="single" w:sz="8" w:space="0" w:color="698CC2"/>
            </w:tcBorders>
            <w:tcMar>
              <w:top w:w="20" w:type="nil"/>
              <w:left w:w="20" w:type="nil"/>
              <w:bottom w:w="20" w:type="nil"/>
              <w:right w:w="20" w:type="nil"/>
            </w:tcMar>
            <w:vAlign w:val="center"/>
          </w:tcPr>
          <w:p w14:paraId="239DD3D3" w14:textId="22D32C0E"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Income </w:t>
            </w:r>
          </w:p>
        </w:tc>
        <w:tc>
          <w:tcPr>
            <w:tcW w:w="1408" w:type="dxa"/>
            <w:tcBorders>
              <w:top w:val="single" w:sz="8" w:space="0" w:color="688DC3"/>
              <w:left w:val="single" w:sz="8" w:space="0" w:color="698DC3"/>
              <w:bottom w:val="single" w:sz="8" w:space="0" w:color="688DC3"/>
              <w:right w:val="single" w:sz="8" w:space="0" w:color="698CC2"/>
            </w:tcBorders>
            <w:vAlign w:val="center"/>
          </w:tcPr>
          <w:p w14:paraId="17B497EE" w14:textId="1A4DCAE3" w:rsidR="002F2FD7" w:rsidRDefault="002F2FD7">
            <w:pPr>
              <w:widowControl w:val="0"/>
              <w:autoSpaceDE w:val="0"/>
              <w:autoSpaceDN w:val="0"/>
              <w:adjustRightInd w:val="0"/>
              <w:spacing w:after="240"/>
              <w:rPr>
                <w:rFonts w:ascii="Times" w:hAnsi="Times" w:cs="Times"/>
              </w:rPr>
            </w:pPr>
            <w:r>
              <w:rPr>
                <w:rFonts w:ascii="Calibri" w:hAnsi="Calibri" w:cs="Calibri"/>
                <w:sz w:val="30"/>
                <w:szCs w:val="30"/>
              </w:rPr>
              <w:t>68%</w:t>
            </w:r>
          </w:p>
        </w:tc>
      </w:tr>
      <w:tr w:rsidR="002F2FD7" w14:paraId="7EDD98B0" w14:textId="77777777" w:rsidTr="00AA15CE">
        <w:tblPrEx>
          <w:tblBorders>
            <w:top w:val="none" w:sz="0" w:space="0" w:color="auto"/>
          </w:tblBorders>
        </w:tblPrEx>
        <w:trPr>
          <w:jc w:val="center"/>
        </w:trPr>
        <w:tc>
          <w:tcPr>
            <w:tcW w:w="4370" w:type="dxa"/>
            <w:tcBorders>
              <w:top w:val="single" w:sz="8" w:space="0" w:color="688DC3"/>
              <w:left w:val="single" w:sz="8" w:space="0" w:color="688DC0"/>
              <w:bottom w:val="single" w:sz="8" w:space="0" w:color="688DC3"/>
              <w:right w:val="single" w:sz="8" w:space="0" w:color="698CC2"/>
            </w:tcBorders>
            <w:shd w:val="clear" w:color="auto" w:fill="C9D7EA"/>
            <w:tcMar>
              <w:top w:w="20" w:type="nil"/>
              <w:left w:w="20" w:type="nil"/>
              <w:bottom w:w="20" w:type="nil"/>
              <w:right w:w="20" w:type="nil"/>
            </w:tcMar>
            <w:vAlign w:val="center"/>
          </w:tcPr>
          <w:p w14:paraId="4600BC64" w14:textId="59F40326"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23771C5C" wp14:editId="182B8E05">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87C6DF" wp14:editId="783FC7DA">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EBB0255" w14:textId="1CCD3E7B"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Housing </w:t>
            </w:r>
          </w:p>
        </w:tc>
        <w:tc>
          <w:tcPr>
            <w:tcW w:w="1408" w:type="dxa"/>
            <w:tcBorders>
              <w:top w:val="single" w:sz="8" w:space="0" w:color="688DC3"/>
              <w:left w:val="single" w:sz="8" w:space="0" w:color="688DC0"/>
              <w:bottom w:val="single" w:sz="8" w:space="0" w:color="688DC3"/>
              <w:right w:val="single" w:sz="8" w:space="0" w:color="698CC2"/>
            </w:tcBorders>
            <w:shd w:val="clear" w:color="auto" w:fill="C9D7EA"/>
            <w:vAlign w:val="center"/>
          </w:tcPr>
          <w:p w14:paraId="59933177" w14:textId="08E2B9C5"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12E51D80" wp14:editId="0E29B99A">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w:sz w:val="30"/>
                <w:szCs w:val="30"/>
              </w:rPr>
              <w:t>39%</w:t>
            </w:r>
          </w:p>
        </w:tc>
      </w:tr>
      <w:tr w:rsidR="002F2FD7" w14:paraId="6ED4433D" w14:textId="77777777" w:rsidTr="00AA15CE">
        <w:tblPrEx>
          <w:tblBorders>
            <w:top w:val="none" w:sz="0" w:space="0" w:color="auto"/>
          </w:tblBorders>
        </w:tblPrEx>
        <w:trPr>
          <w:jc w:val="center"/>
        </w:trPr>
        <w:tc>
          <w:tcPr>
            <w:tcW w:w="4370" w:type="dxa"/>
            <w:tcBorders>
              <w:top w:val="single" w:sz="8" w:space="0" w:color="688DC3"/>
              <w:left w:val="single" w:sz="8" w:space="0" w:color="698CC2"/>
              <w:bottom w:val="single" w:sz="8" w:space="0" w:color="688DC3"/>
              <w:right w:val="single" w:sz="8" w:space="0" w:color="698CC2"/>
            </w:tcBorders>
            <w:tcMar>
              <w:top w:w="20" w:type="nil"/>
              <w:left w:w="20" w:type="nil"/>
              <w:bottom w:w="20" w:type="nil"/>
              <w:right w:w="20" w:type="nil"/>
            </w:tcMar>
            <w:vAlign w:val="center"/>
          </w:tcPr>
          <w:p w14:paraId="12E591D7" w14:textId="345152EC"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Built environment </w:t>
            </w:r>
          </w:p>
        </w:tc>
        <w:tc>
          <w:tcPr>
            <w:tcW w:w="1408" w:type="dxa"/>
            <w:tcBorders>
              <w:top w:val="single" w:sz="8" w:space="0" w:color="688DC3"/>
              <w:left w:val="single" w:sz="8" w:space="0" w:color="698CC2"/>
              <w:bottom w:val="single" w:sz="8" w:space="0" w:color="688DC3"/>
              <w:right w:val="single" w:sz="8" w:space="0" w:color="698CC2"/>
            </w:tcBorders>
            <w:vAlign w:val="center"/>
          </w:tcPr>
          <w:p w14:paraId="16379ED0" w14:textId="2EE7088B" w:rsidR="002F2FD7" w:rsidRDefault="002F2FD7">
            <w:pPr>
              <w:widowControl w:val="0"/>
              <w:autoSpaceDE w:val="0"/>
              <w:autoSpaceDN w:val="0"/>
              <w:adjustRightInd w:val="0"/>
              <w:spacing w:after="240"/>
              <w:rPr>
                <w:rFonts w:ascii="Times" w:hAnsi="Times" w:cs="Times"/>
              </w:rPr>
            </w:pPr>
            <w:r>
              <w:rPr>
                <w:rFonts w:ascii="Calibri" w:hAnsi="Calibri" w:cs="Calibri"/>
                <w:sz w:val="30"/>
                <w:szCs w:val="30"/>
              </w:rPr>
              <w:t>47%</w:t>
            </w:r>
          </w:p>
        </w:tc>
      </w:tr>
      <w:tr w:rsidR="002F2FD7" w14:paraId="572054F0" w14:textId="77777777" w:rsidTr="00AA15CE">
        <w:tblPrEx>
          <w:tblBorders>
            <w:top w:val="none" w:sz="0" w:space="0" w:color="auto"/>
          </w:tblBorders>
        </w:tblPrEx>
        <w:trPr>
          <w:jc w:val="center"/>
        </w:trPr>
        <w:tc>
          <w:tcPr>
            <w:tcW w:w="4370" w:type="dxa"/>
            <w:tcBorders>
              <w:top w:val="single" w:sz="8" w:space="0" w:color="688DC3"/>
              <w:left w:val="single" w:sz="8" w:space="0" w:color="688DC0"/>
              <w:bottom w:val="single" w:sz="8" w:space="0" w:color="688DC3"/>
              <w:right w:val="single" w:sz="8" w:space="0" w:color="698CC2"/>
            </w:tcBorders>
            <w:shd w:val="clear" w:color="auto" w:fill="C9D7EA"/>
            <w:tcMar>
              <w:top w:w="20" w:type="nil"/>
              <w:left w:w="20" w:type="nil"/>
              <w:bottom w:w="20" w:type="nil"/>
              <w:right w:w="20" w:type="nil"/>
            </w:tcMar>
            <w:vAlign w:val="center"/>
          </w:tcPr>
          <w:p w14:paraId="60246568" w14:textId="19EB6774"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7AA96BB9" wp14:editId="52FEF435">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5F6EBDC" w14:textId="447C9A59"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Race/ethnicity disparities </w:t>
            </w:r>
          </w:p>
        </w:tc>
        <w:tc>
          <w:tcPr>
            <w:tcW w:w="1408" w:type="dxa"/>
            <w:tcBorders>
              <w:top w:val="single" w:sz="8" w:space="0" w:color="688DC3"/>
              <w:left w:val="single" w:sz="8" w:space="0" w:color="688DC0"/>
              <w:bottom w:val="single" w:sz="8" w:space="0" w:color="688DC3"/>
              <w:right w:val="single" w:sz="8" w:space="0" w:color="698CC2"/>
            </w:tcBorders>
            <w:shd w:val="clear" w:color="auto" w:fill="C9D7EA"/>
            <w:vAlign w:val="center"/>
          </w:tcPr>
          <w:p w14:paraId="665E9FAB" w14:textId="7B3A2CBC"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50968933" wp14:editId="3D49BF2C">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w:sz w:val="30"/>
                <w:szCs w:val="30"/>
              </w:rPr>
              <w:t>95%</w:t>
            </w:r>
          </w:p>
        </w:tc>
      </w:tr>
      <w:tr w:rsidR="002F2FD7" w14:paraId="2CB46509" w14:textId="77777777" w:rsidTr="00AA15CE">
        <w:tblPrEx>
          <w:tblBorders>
            <w:top w:val="none" w:sz="0" w:space="0" w:color="auto"/>
          </w:tblBorders>
        </w:tblPrEx>
        <w:trPr>
          <w:jc w:val="center"/>
        </w:trPr>
        <w:tc>
          <w:tcPr>
            <w:tcW w:w="4370" w:type="dxa"/>
            <w:tcBorders>
              <w:top w:val="single" w:sz="8" w:space="0" w:color="688DC3"/>
              <w:left w:val="single" w:sz="8" w:space="0" w:color="698DC2"/>
              <w:bottom w:val="single" w:sz="8" w:space="0" w:color="688DC3"/>
              <w:right w:val="single" w:sz="8" w:space="0" w:color="698CC2"/>
            </w:tcBorders>
            <w:tcMar>
              <w:top w:w="20" w:type="nil"/>
              <w:left w:w="20" w:type="nil"/>
              <w:bottom w:w="20" w:type="nil"/>
              <w:right w:w="20" w:type="nil"/>
            </w:tcMar>
            <w:vAlign w:val="center"/>
          </w:tcPr>
          <w:p w14:paraId="5997C350" w14:textId="603D1D78"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Gender disparities </w:t>
            </w:r>
          </w:p>
        </w:tc>
        <w:tc>
          <w:tcPr>
            <w:tcW w:w="1408" w:type="dxa"/>
            <w:tcBorders>
              <w:top w:val="single" w:sz="8" w:space="0" w:color="688DC3"/>
              <w:left w:val="single" w:sz="8" w:space="0" w:color="698DC2"/>
              <w:bottom w:val="single" w:sz="8" w:space="0" w:color="688DC3"/>
              <w:right w:val="single" w:sz="8" w:space="0" w:color="698CC2"/>
            </w:tcBorders>
            <w:vAlign w:val="center"/>
          </w:tcPr>
          <w:p w14:paraId="0E6751A8" w14:textId="23A05DE9" w:rsidR="002F2FD7" w:rsidRDefault="002F2FD7">
            <w:pPr>
              <w:widowControl w:val="0"/>
              <w:autoSpaceDE w:val="0"/>
              <w:autoSpaceDN w:val="0"/>
              <w:adjustRightInd w:val="0"/>
              <w:spacing w:after="240"/>
              <w:rPr>
                <w:rFonts w:ascii="Times" w:hAnsi="Times" w:cs="Times"/>
              </w:rPr>
            </w:pPr>
            <w:r>
              <w:rPr>
                <w:rFonts w:ascii="Calibri" w:hAnsi="Calibri" w:cs="Calibri"/>
                <w:sz w:val="30"/>
                <w:szCs w:val="30"/>
              </w:rPr>
              <w:t>93%</w:t>
            </w:r>
          </w:p>
        </w:tc>
      </w:tr>
      <w:tr w:rsidR="002F2FD7" w14:paraId="6D3F0DB1" w14:textId="77777777" w:rsidTr="00AA15CE">
        <w:tblPrEx>
          <w:tblBorders>
            <w:top w:val="none" w:sz="0" w:space="0" w:color="auto"/>
          </w:tblBorders>
        </w:tblPrEx>
        <w:trPr>
          <w:jc w:val="center"/>
        </w:trPr>
        <w:tc>
          <w:tcPr>
            <w:tcW w:w="4370" w:type="dxa"/>
            <w:tcBorders>
              <w:top w:val="single" w:sz="8" w:space="0" w:color="688DC3"/>
              <w:left w:val="single" w:sz="8" w:space="0" w:color="688DC0"/>
              <w:bottom w:val="single" w:sz="8" w:space="0" w:color="688DC3"/>
              <w:right w:val="single" w:sz="8" w:space="0" w:color="698CC2"/>
            </w:tcBorders>
            <w:shd w:val="clear" w:color="auto" w:fill="C9D7EA"/>
            <w:tcMar>
              <w:top w:w="20" w:type="nil"/>
              <w:left w:w="20" w:type="nil"/>
              <w:bottom w:w="20" w:type="nil"/>
              <w:right w:w="20" w:type="nil"/>
            </w:tcMar>
            <w:vAlign w:val="center"/>
          </w:tcPr>
          <w:p w14:paraId="1F94DD4B" w14:textId="774F7A8D"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3A1A4012" wp14:editId="3ADE2573">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5255E54" w14:textId="698992BF"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Gender identity/LGBTQ disparities </w:t>
            </w:r>
          </w:p>
        </w:tc>
        <w:tc>
          <w:tcPr>
            <w:tcW w:w="1408" w:type="dxa"/>
            <w:tcBorders>
              <w:top w:val="single" w:sz="8" w:space="0" w:color="688DC3"/>
              <w:left w:val="single" w:sz="8" w:space="0" w:color="688DC0"/>
              <w:bottom w:val="single" w:sz="8" w:space="0" w:color="688DC3"/>
              <w:right w:val="single" w:sz="8" w:space="0" w:color="698CC2"/>
            </w:tcBorders>
            <w:shd w:val="clear" w:color="auto" w:fill="C9D7EA"/>
            <w:vAlign w:val="center"/>
          </w:tcPr>
          <w:p w14:paraId="1800AED0" w14:textId="5DCFA757"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1C18C483" wp14:editId="31AF0008">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w:sz w:val="30"/>
                <w:szCs w:val="30"/>
              </w:rPr>
              <w:t>42%</w:t>
            </w:r>
          </w:p>
        </w:tc>
      </w:tr>
      <w:tr w:rsidR="002F2FD7" w14:paraId="5C65EA70" w14:textId="77777777" w:rsidTr="00AA15CE">
        <w:tblPrEx>
          <w:tblBorders>
            <w:top w:val="none" w:sz="0" w:space="0" w:color="auto"/>
          </w:tblBorders>
        </w:tblPrEx>
        <w:trPr>
          <w:jc w:val="center"/>
        </w:trPr>
        <w:tc>
          <w:tcPr>
            <w:tcW w:w="4370" w:type="dxa"/>
            <w:tcBorders>
              <w:top w:val="single" w:sz="8" w:space="0" w:color="688DC3"/>
              <w:left w:val="single" w:sz="8" w:space="0" w:color="698DC3"/>
              <w:bottom w:val="single" w:sz="8" w:space="0" w:color="688DC3"/>
              <w:right w:val="single" w:sz="8" w:space="0" w:color="698CC2"/>
            </w:tcBorders>
            <w:tcMar>
              <w:top w:w="20" w:type="nil"/>
              <w:left w:w="20" w:type="nil"/>
              <w:bottom w:w="20" w:type="nil"/>
              <w:right w:w="20" w:type="nil"/>
            </w:tcMar>
            <w:vAlign w:val="center"/>
          </w:tcPr>
          <w:p w14:paraId="6ED3F3E6" w14:textId="68AFA491"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Disability disparities </w:t>
            </w:r>
          </w:p>
        </w:tc>
        <w:tc>
          <w:tcPr>
            <w:tcW w:w="1408" w:type="dxa"/>
            <w:tcBorders>
              <w:top w:val="single" w:sz="8" w:space="0" w:color="688DC3"/>
              <w:left w:val="single" w:sz="8" w:space="0" w:color="698DC3"/>
              <w:bottom w:val="single" w:sz="8" w:space="0" w:color="688DC3"/>
              <w:right w:val="single" w:sz="8" w:space="0" w:color="698CC2"/>
            </w:tcBorders>
            <w:vAlign w:val="center"/>
          </w:tcPr>
          <w:p w14:paraId="26FD3EFB" w14:textId="35492D29" w:rsidR="002F2FD7" w:rsidRDefault="002F2FD7">
            <w:pPr>
              <w:widowControl w:val="0"/>
              <w:autoSpaceDE w:val="0"/>
              <w:autoSpaceDN w:val="0"/>
              <w:adjustRightInd w:val="0"/>
              <w:spacing w:after="240"/>
              <w:rPr>
                <w:rFonts w:ascii="Times" w:hAnsi="Times" w:cs="Times"/>
              </w:rPr>
            </w:pPr>
            <w:r>
              <w:rPr>
                <w:rFonts w:ascii="Calibri" w:hAnsi="Calibri" w:cs="Calibri"/>
                <w:sz w:val="30"/>
                <w:szCs w:val="30"/>
              </w:rPr>
              <w:t>51%</w:t>
            </w:r>
          </w:p>
        </w:tc>
      </w:tr>
      <w:tr w:rsidR="002F2FD7" w14:paraId="73DC2A6E" w14:textId="77777777" w:rsidTr="00AA15CE">
        <w:trPr>
          <w:jc w:val="center"/>
        </w:trPr>
        <w:tc>
          <w:tcPr>
            <w:tcW w:w="4370" w:type="dxa"/>
            <w:tcBorders>
              <w:top w:val="single" w:sz="8" w:space="0" w:color="688DC3"/>
              <w:left w:val="single" w:sz="8" w:space="0" w:color="678BC0"/>
              <w:bottom w:val="single" w:sz="8" w:space="0" w:color="688DC3"/>
              <w:right w:val="single" w:sz="8" w:space="0" w:color="698CC2"/>
            </w:tcBorders>
            <w:shd w:val="clear" w:color="auto" w:fill="C9D7EA"/>
            <w:tcMar>
              <w:top w:w="20" w:type="nil"/>
              <w:left w:w="20" w:type="nil"/>
              <w:bottom w:w="20" w:type="nil"/>
              <w:right w:w="20" w:type="nil"/>
            </w:tcMar>
            <w:vAlign w:val="center"/>
          </w:tcPr>
          <w:p w14:paraId="3092AC3F" w14:textId="100E46E4"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7D37A47C" wp14:editId="1779ADDD">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w:b/>
                <w:bCs/>
                <w:sz w:val="30"/>
                <w:szCs w:val="30"/>
              </w:rPr>
              <w:t xml:space="preserve"> Other disparities</w:t>
            </w:r>
          </w:p>
        </w:tc>
        <w:tc>
          <w:tcPr>
            <w:tcW w:w="1408" w:type="dxa"/>
            <w:tcBorders>
              <w:top w:val="single" w:sz="8" w:space="0" w:color="688DC3"/>
              <w:left w:val="single" w:sz="8" w:space="0" w:color="678BC0"/>
              <w:bottom w:val="single" w:sz="8" w:space="0" w:color="688DC3"/>
              <w:right w:val="single" w:sz="8" w:space="0" w:color="698CC2"/>
            </w:tcBorders>
            <w:shd w:val="clear" w:color="auto" w:fill="C9D7EA"/>
            <w:vAlign w:val="center"/>
          </w:tcPr>
          <w:p w14:paraId="3EF90FB3" w14:textId="783CCAD2" w:rsidR="002F2FD7" w:rsidRDefault="002F2FD7">
            <w:pPr>
              <w:widowControl w:val="0"/>
              <w:autoSpaceDE w:val="0"/>
              <w:autoSpaceDN w:val="0"/>
              <w:adjustRightInd w:val="0"/>
              <w:spacing w:after="240"/>
              <w:rPr>
                <w:rFonts w:ascii="Times" w:hAnsi="Times" w:cs="Times"/>
              </w:rPr>
            </w:pPr>
            <w:r>
              <w:rPr>
                <w:rFonts w:ascii="Calibri" w:hAnsi="Calibri" w:cs="Calibri"/>
                <w:sz w:val="30"/>
                <w:szCs w:val="30"/>
              </w:rPr>
              <w:t>26%</w:t>
            </w:r>
          </w:p>
        </w:tc>
      </w:tr>
    </w:tbl>
    <w:p w14:paraId="32A7ADA4" w14:textId="77777777" w:rsidR="00AA15CE" w:rsidRDefault="00AA15CE" w:rsidP="002F2FD7">
      <w:pPr>
        <w:widowControl w:val="0"/>
        <w:autoSpaceDE w:val="0"/>
        <w:autoSpaceDN w:val="0"/>
        <w:adjustRightInd w:val="0"/>
        <w:spacing w:after="240"/>
        <w:rPr>
          <w:rFonts w:ascii="Calibri" w:hAnsi="Calibri" w:cs="Calibri"/>
          <w:b/>
          <w:bCs/>
          <w:i/>
          <w:iCs/>
          <w:color w:val="01154D"/>
          <w:sz w:val="32"/>
          <w:szCs w:val="32"/>
        </w:rPr>
      </w:pPr>
    </w:p>
    <w:p w14:paraId="3E086DC6" w14:textId="77777777" w:rsidR="002F2FD7" w:rsidRDefault="002F2FD7" w:rsidP="002F2FD7">
      <w:pPr>
        <w:widowControl w:val="0"/>
        <w:autoSpaceDE w:val="0"/>
        <w:autoSpaceDN w:val="0"/>
        <w:adjustRightInd w:val="0"/>
        <w:spacing w:after="240"/>
        <w:rPr>
          <w:rFonts w:ascii="Times" w:hAnsi="Times" w:cs="Times"/>
        </w:rPr>
      </w:pPr>
      <w:r>
        <w:rPr>
          <w:rFonts w:ascii="Calibri" w:hAnsi="Calibri" w:cs="Calibri"/>
          <w:b/>
          <w:bCs/>
          <w:i/>
          <w:iCs/>
          <w:color w:val="01154D"/>
          <w:sz w:val="32"/>
          <w:szCs w:val="32"/>
        </w:rPr>
        <w:t>Health Equity Training</w:t>
      </w:r>
    </w:p>
    <w:p w14:paraId="50044841" w14:textId="77777777" w:rsidR="00AA15CE" w:rsidRDefault="002F2FD7" w:rsidP="00AA15CE">
      <w:pPr>
        <w:widowControl w:val="0"/>
        <w:autoSpaceDE w:val="0"/>
        <w:autoSpaceDN w:val="0"/>
        <w:adjustRightInd w:val="0"/>
        <w:spacing w:after="240"/>
        <w:rPr>
          <w:rFonts w:ascii="Times" w:hAnsi="Times" w:cs="Times"/>
        </w:rPr>
      </w:pPr>
      <w:r>
        <w:rPr>
          <w:rFonts w:ascii="Calibri" w:hAnsi="Calibri" w:cs="Calibri"/>
          <w:sz w:val="30"/>
          <w:szCs w:val="30"/>
        </w:rPr>
        <w:t>Most respondents said they either have optional (rather than mandatory) health equity training (45%) or no health equity training options available (16%) in their state. Most respondents felt their health equity training was inadequate to do their job effectively (60%). In general, respondents reported interest in a variety of training topics related to health equity</w:t>
      </w:r>
      <w:r w:rsidR="001528FF">
        <w:rPr>
          <w:rFonts w:ascii="Calibri" w:hAnsi="Calibri" w:cs="Calibri"/>
          <w:sz w:val="30"/>
          <w:szCs w:val="30"/>
        </w:rPr>
        <w:t>.</w:t>
      </w:r>
    </w:p>
    <w:p w14:paraId="031BE17A" w14:textId="77777777" w:rsidR="00AA15CE" w:rsidRDefault="00AA15CE">
      <w:pPr>
        <w:rPr>
          <w:rFonts w:ascii="Times" w:hAnsi="Times" w:cs="Times"/>
        </w:rPr>
      </w:pPr>
      <w:r>
        <w:rPr>
          <w:rFonts w:ascii="Times" w:hAnsi="Times" w:cs="Times"/>
        </w:rPr>
        <w:br w:type="page"/>
      </w:r>
    </w:p>
    <w:p w14:paraId="09A4FAEA" w14:textId="4F54CBD1" w:rsidR="002F2FD7" w:rsidRDefault="002F2FD7" w:rsidP="00AA15CE">
      <w:pPr>
        <w:widowControl w:val="0"/>
        <w:autoSpaceDE w:val="0"/>
        <w:autoSpaceDN w:val="0"/>
        <w:adjustRightInd w:val="0"/>
        <w:spacing w:after="240"/>
        <w:jc w:val="center"/>
        <w:rPr>
          <w:rFonts w:ascii="Times" w:hAnsi="Times" w:cs="Times"/>
        </w:rPr>
      </w:pPr>
      <w:proofErr w:type="gramStart"/>
      <w:r>
        <w:rPr>
          <w:rFonts w:ascii="Calibri" w:hAnsi="Calibri" w:cs="Calibri"/>
          <w:color w:val="18376A"/>
          <w:sz w:val="30"/>
          <w:szCs w:val="30"/>
        </w:rPr>
        <w:t>Interest in health equity-related training topics.</w:t>
      </w:r>
      <w:proofErr w:type="gramEnd"/>
    </w:p>
    <w:tbl>
      <w:tblPr>
        <w:tblW w:w="0" w:type="auto"/>
        <w:jc w:val="center"/>
        <w:tblBorders>
          <w:top w:val="nil"/>
          <w:left w:val="nil"/>
          <w:right w:val="nil"/>
        </w:tblBorders>
        <w:tblLayout w:type="fixed"/>
        <w:tblLook w:val="0000" w:firstRow="0" w:lastRow="0" w:firstColumn="0" w:lastColumn="0" w:noHBand="0" w:noVBand="0"/>
      </w:tblPr>
      <w:tblGrid>
        <w:gridCol w:w="4374"/>
        <w:gridCol w:w="1854"/>
      </w:tblGrid>
      <w:tr w:rsidR="002F2FD7" w14:paraId="2825D52C" w14:textId="77777777" w:rsidTr="00AA15CE">
        <w:trPr>
          <w:jc w:val="center"/>
        </w:trPr>
        <w:tc>
          <w:tcPr>
            <w:tcW w:w="6228" w:type="dxa"/>
            <w:gridSpan w:val="2"/>
            <w:tcBorders>
              <w:top w:val="single" w:sz="8" w:space="0" w:color="688DC3"/>
              <w:left w:val="single" w:sz="8" w:space="0" w:color="688BC0"/>
              <w:bottom w:val="single" w:sz="8" w:space="0" w:color="688DC3"/>
              <w:right w:val="single" w:sz="8" w:space="0" w:color="688DC2"/>
            </w:tcBorders>
            <w:shd w:val="clear" w:color="auto" w:fill="3F6CAF"/>
            <w:tcMar>
              <w:top w:w="20" w:type="nil"/>
              <w:left w:w="20" w:type="nil"/>
              <w:bottom w:w="20" w:type="nil"/>
              <w:right w:w="20" w:type="nil"/>
            </w:tcMar>
            <w:vAlign w:val="center"/>
          </w:tcPr>
          <w:p w14:paraId="193A9896" w14:textId="0A391DDB"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41DFB2D5" wp14:editId="21AD238A">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DDC66D4" wp14:editId="64E482BA">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7FC6118" w14:textId="77777777" w:rsidR="002F2FD7" w:rsidRDefault="002F2FD7">
            <w:pPr>
              <w:widowControl w:val="0"/>
              <w:autoSpaceDE w:val="0"/>
              <w:autoSpaceDN w:val="0"/>
              <w:adjustRightInd w:val="0"/>
              <w:spacing w:after="240"/>
              <w:rPr>
                <w:rFonts w:ascii="Times" w:hAnsi="Times" w:cs="Times"/>
              </w:rPr>
            </w:pPr>
            <w:r>
              <w:rPr>
                <w:rFonts w:ascii="Calibri" w:hAnsi="Calibri" w:cs="Calibri"/>
                <w:b/>
                <w:bCs/>
                <w:color w:val="FFFFFF"/>
                <w:sz w:val="30"/>
                <w:szCs w:val="30"/>
              </w:rPr>
              <w:t>Topic Respondents Reporting Interest (n=67)</w:t>
            </w:r>
          </w:p>
        </w:tc>
      </w:tr>
      <w:tr w:rsidR="002F2FD7" w14:paraId="5CDA1112" w14:textId="77777777" w:rsidTr="00AA15CE">
        <w:tblPrEx>
          <w:tblBorders>
            <w:top w:val="none" w:sz="0" w:space="0" w:color="auto"/>
          </w:tblBorders>
        </w:tblPrEx>
        <w:trPr>
          <w:jc w:val="center"/>
        </w:trPr>
        <w:tc>
          <w:tcPr>
            <w:tcW w:w="4374" w:type="dxa"/>
            <w:tcBorders>
              <w:top w:val="single" w:sz="8" w:space="0" w:color="688DC3"/>
              <w:left w:val="single" w:sz="8" w:space="0" w:color="698DC3"/>
              <w:bottom w:val="single" w:sz="8" w:space="0" w:color="688DC3"/>
              <w:right w:val="single" w:sz="8" w:space="0" w:color="698CC2"/>
            </w:tcBorders>
            <w:shd w:val="clear" w:color="auto" w:fill="C9D7EA"/>
            <w:tcMar>
              <w:top w:w="20" w:type="nil"/>
              <w:left w:w="20" w:type="nil"/>
              <w:bottom w:w="20" w:type="nil"/>
              <w:right w:w="20" w:type="nil"/>
            </w:tcMar>
            <w:vAlign w:val="center"/>
          </w:tcPr>
          <w:p w14:paraId="2C69BDAA" w14:textId="2613F1E0"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4B619780" wp14:editId="01B8FA1F">
                  <wp:extent cx="12700" cy="12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w:b/>
                <w:bCs/>
                <w:sz w:val="30"/>
                <w:szCs w:val="30"/>
              </w:rPr>
              <w:t xml:space="preserve"> Building a diverse workforce</w:t>
            </w:r>
          </w:p>
        </w:tc>
        <w:tc>
          <w:tcPr>
            <w:tcW w:w="1854" w:type="dxa"/>
            <w:tcBorders>
              <w:top w:val="single" w:sz="8" w:space="0" w:color="688DC3"/>
              <w:left w:val="single" w:sz="8" w:space="0" w:color="698DC3"/>
              <w:bottom w:val="single" w:sz="8" w:space="0" w:color="688DC3"/>
              <w:right w:val="single" w:sz="8" w:space="0" w:color="698CC2"/>
            </w:tcBorders>
            <w:shd w:val="clear" w:color="auto" w:fill="C9D7EA"/>
            <w:vAlign w:val="center"/>
          </w:tcPr>
          <w:p w14:paraId="32CF7C23" w14:textId="6A680015" w:rsidR="002F2FD7" w:rsidRDefault="002F2FD7">
            <w:pPr>
              <w:widowControl w:val="0"/>
              <w:autoSpaceDE w:val="0"/>
              <w:autoSpaceDN w:val="0"/>
              <w:adjustRightInd w:val="0"/>
              <w:spacing w:after="240"/>
              <w:rPr>
                <w:rFonts w:ascii="Times" w:hAnsi="Times" w:cs="Times"/>
              </w:rPr>
            </w:pPr>
            <w:r>
              <w:rPr>
                <w:rFonts w:ascii="Calibri" w:hAnsi="Calibri" w:cs="Calibri"/>
                <w:sz w:val="30"/>
                <w:szCs w:val="30"/>
              </w:rPr>
              <w:t>40%</w:t>
            </w:r>
          </w:p>
        </w:tc>
      </w:tr>
      <w:tr w:rsidR="002F2FD7" w14:paraId="20868CB1" w14:textId="77777777" w:rsidTr="00AA15CE">
        <w:tblPrEx>
          <w:tblBorders>
            <w:top w:val="none" w:sz="0" w:space="0" w:color="auto"/>
          </w:tblBorders>
        </w:tblPrEx>
        <w:trPr>
          <w:jc w:val="center"/>
        </w:trPr>
        <w:tc>
          <w:tcPr>
            <w:tcW w:w="4374" w:type="dxa"/>
            <w:tcBorders>
              <w:top w:val="single" w:sz="8" w:space="0" w:color="688DC3"/>
              <w:left w:val="single" w:sz="8" w:space="0" w:color="678BBF"/>
              <w:bottom w:val="single" w:sz="8" w:space="0" w:color="688DC3"/>
              <w:right w:val="single" w:sz="8" w:space="0" w:color="698CC2"/>
            </w:tcBorders>
            <w:tcMar>
              <w:top w:w="20" w:type="nil"/>
              <w:left w:w="20" w:type="nil"/>
              <w:bottom w:w="20" w:type="nil"/>
              <w:right w:w="20" w:type="nil"/>
            </w:tcMar>
            <w:vAlign w:val="center"/>
          </w:tcPr>
          <w:p w14:paraId="34CDCEE2" w14:textId="4832F710"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79FDE416" wp14:editId="46871B66">
                  <wp:extent cx="12700" cy="12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128F173" w14:textId="444D0547"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Social determinants of health concepts</w:t>
            </w:r>
          </w:p>
        </w:tc>
        <w:tc>
          <w:tcPr>
            <w:tcW w:w="1854" w:type="dxa"/>
            <w:tcBorders>
              <w:top w:val="single" w:sz="8" w:space="0" w:color="688DC3"/>
              <w:left w:val="single" w:sz="8" w:space="0" w:color="678BBF"/>
              <w:bottom w:val="single" w:sz="8" w:space="0" w:color="688DC3"/>
              <w:right w:val="single" w:sz="8" w:space="0" w:color="698CC2"/>
            </w:tcBorders>
            <w:vAlign w:val="center"/>
          </w:tcPr>
          <w:p w14:paraId="02876DA9" w14:textId="59D042CB"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1C2410FD" wp14:editId="51A431CD">
                  <wp:extent cx="12700" cy="1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w:b/>
                <w:bCs/>
                <w:sz w:val="30"/>
                <w:szCs w:val="30"/>
              </w:rPr>
              <w:t xml:space="preserve"> </w:t>
            </w:r>
            <w:r>
              <w:rPr>
                <w:rFonts w:ascii="Calibri" w:hAnsi="Calibri" w:cs="Calibri"/>
                <w:sz w:val="30"/>
                <w:szCs w:val="30"/>
              </w:rPr>
              <w:t>64%</w:t>
            </w:r>
          </w:p>
        </w:tc>
      </w:tr>
      <w:tr w:rsidR="002F2FD7" w14:paraId="1F86E8F6" w14:textId="77777777" w:rsidTr="00AA15CE">
        <w:tblPrEx>
          <w:tblBorders>
            <w:top w:val="none" w:sz="0" w:space="0" w:color="auto"/>
          </w:tblBorders>
        </w:tblPrEx>
        <w:trPr>
          <w:jc w:val="center"/>
        </w:trPr>
        <w:tc>
          <w:tcPr>
            <w:tcW w:w="4374" w:type="dxa"/>
            <w:tcBorders>
              <w:top w:val="single" w:sz="8" w:space="0" w:color="688DC3"/>
              <w:left w:val="single" w:sz="8" w:space="0" w:color="698DC3"/>
              <w:bottom w:val="single" w:sz="8" w:space="0" w:color="688DC3"/>
              <w:right w:val="single" w:sz="8" w:space="0" w:color="698CC2"/>
            </w:tcBorders>
            <w:shd w:val="clear" w:color="auto" w:fill="C9D7EA"/>
            <w:tcMar>
              <w:top w:w="20" w:type="nil"/>
              <w:left w:w="20" w:type="nil"/>
              <w:bottom w:w="20" w:type="nil"/>
              <w:right w:w="20" w:type="nil"/>
            </w:tcMar>
            <w:vAlign w:val="center"/>
          </w:tcPr>
          <w:p w14:paraId="046A1A86" w14:textId="0B1ADB62"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Institutional equity </w:t>
            </w:r>
          </w:p>
        </w:tc>
        <w:tc>
          <w:tcPr>
            <w:tcW w:w="1854" w:type="dxa"/>
            <w:tcBorders>
              <w:top w:val="single" w:sz="8" w:space="0" w:color="688DC3"/>
              <w:left w:val="single" w:sz="8" w:space="0" w:color="698DC3"/>
              <w:bottom w:val="single" w:sz="8" w:space="0" w:color="688DC3"/>
              <w:right w:val="single" w:sz="8" w:space="0" w:color="698CC2"/>
            </w:tcBorders>
            <w:shd w:val="clear" w:color="auto" w:fill="C9D7EA"/>
            <w:vAlign w:val="center"/>
          </w:tcPr>
          <w:p w14:paraId="64D020CB" w14:textId="205F021D" w:rsidR="002F2FD7" w:rsidRDefault="002F2FD7">
            <w:pPr>
              <w:widowControl w:val="0"/>
              <w:autoSpaceDE w:val="0"/>
              <w:autoSpaceDN w:val="0"/>
              <w:adjustRightInd w:val="0"/>
              <w:spacing w:after="240"/>
              <w:rPr>
                <w:rFonts w:ascii="Times" w:hAnsi="Times" w:cs="Times"/>
              </w:rPr>
            </w:pPr>
            <w:r>
              <w:rPr>
                <w:rFonts w:ascii="Calibri" w:hAnsi="Calibri" w:cs="Calibri"/>
                <w:sz w:val="30"/>
                <w:szCs w:val="30"/>
              </w:rPr>
              <w:t>46%</w:t>
            </w:r>
          </w:p>
        </w:tc>
      </w:tr>
      <w:tr w:rsidR="002F2FD7" w14:paraId="5BDAF3C3" w14:textId="77777777" w:rsidTr="00AA15CE">
        <w:tblPrEx>
          <w:tblBorders>
            <w:top w:val="none" w:sz="0" w:space="0" w:color="auto"/>
          </w:tblBorders>
        </w:tblPrEx>
        <w:trPr>
          <w:jc w:val="center"/>
        </w:trPr>
        <w:tc>
          <w:tcPr>
            <w:tcW w:w="4374" w:type="dxa"/>
            <w:tcBorders>
              <w:top w:val="single" w:sz="8" w:space="0" w:color="688DC3"/>
              <w:left w:val="single" w:sz="8" w:space="0" w:color="688DC0"/>
              <w:bottom w:val="single" w:sz="8" w:space="0" w:color="688DC3"/>
              <w:right w:val="single" w:sz="8" w:space="0" w:color="698CC2"/>
            </w:tcBorders>
            <w:tcMar>
              <w:top w:w="20" w:type="nil"/>
              <w:left w:w="20" w:type="nil"/>
              <w:bottom w:w="20" w:type="nil"/>
              <w:right w:w="20" w:type="nil"/>
            </w:tcMar>
            <w:vAlign w:val="center"/>
          </w:tcPr>
          <w:p w14:paraId="15A3D759" w14:textId="16274C0D"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2EAC6A17" wp14:editId="5D11FD17">
                  <wp:extent cx="12700" cy="12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BE63EE1" w14:textId="5D6EA175"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Applying data to practice </w:t>
            </w:r>
          </w:p>
        </w:tc>
        <w:tc>
          <w:tcPr>
            <w:tcW w:w="1854" w:type="dxa"/>
            <w:tcBorders>
              <w:top w:val="single" w:sz="8" w:space="0" w:color="688DC3"/>
              <w:left w:val="single" w:sz="8" w:space="0" w:color="688DC0"/>
              <w:bottom w:val="single" w:sz="8" w:space="0" w:color="688DC3"/>
              <w:right w:val="single" w:sz="8" w:space="0" w:color="698CC2"/>
            </w:tcBorders>
            <w:vAlign w:val="center"/>
          </w:tcPr>
          <w:p w14:paraId="2E3900A8" w14:textId="7834E5DC"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276EC654" wp14:editId="2E3D28A0">
                  <wp:extent cx="1270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w:sz w:val="30"/>
                <w:szCs w:val="30"/>
              </w:rPr>
              <w:t>78%</w:t>
            </w:r>
          </w:p>
        </w:tc>
      </w:tr>
      <w:tr w:rsidR="002F2FD7" w14:paraId="139BB267" w14:textId="77777777" w:rsidTr="00AA15CE">
        <w:tblPrEx>
          <w:tblBorders>
            <w:top w:val="none" w:sz="0" w:space="0" w:color="auto"/>
          </w:tblBorders>
        </w:tblPrEx>
        <w:trPr>
          <w:jc w:val="center"/>
        </w:trPr>
        <w:tc>
          <w:tcPr>
            <w:tcW w:w="4374" w:type="dxa"/>
            <w:tcBorders>
              <w:top w:val="single" w:sz="8" w:space="0" w:color="688DC3"/>
              <w:left w:val="single" w:sz="8" w:space="0" w:color="698CC2"/>
              <w:bottom w:val="single" w:sz="8" w:space="0" w:color="688DC3"/>
              <w:right w:val="single" w:sz="8" w:space="0" w:color="698CC2"/>
            </w:tcBorders>
            <w:shd w:val="clear" w:color="auto" w:fill="C9D7EA"/>
            <w:tcMar>
              <w:top w:w="20" w:type="nil"/>
              <w:left w:w="20" w:type="nil"/>
              <w:bottom w:w="20" w:type="nil"/>
              <w:right w:w="20" w:type="nil"/>
            </w:tcMar>
            <w:vAlign w:val="center"/>
          </w:tcPr>
          <w:p w14:paraId="31C7C111" w14:textId="522C79D4"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Applying theory to practice </w:t>
            </w:r>
          </w:p>
        </w:tc>
        <w:tc>
          <w:tcPr>
            <w:tcW w:w="1854" w:type="dxa"/>
            <w:tcBorders>
              <w:top w:val="single" w:sz="8" w:space="0" w:color="688DC3"/>
              <w:left w:val="single" w:sz="8" w:space="0" w:color="698CC2"/>
              <w:bottom w:val="single" w:sz="8" w:space="0" w:color="688DC3"/>
              <w:right w:val="single" w:sz="8" w:space="0" w:color="698CC2"/>
            </w:tcBorders>
            <w:shd w:val="clear" w:color="auto" w:fill="C9D7EA"/>
            <w:vAlign w:val="center"/>
          </w:tcPr>
          <w:p w14:paraId="4C1D1AD8" w14:textId="0F4AA88A"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5FBB536A" wp14:editId="102801CA">
                  <wp:extent cx="12700" cy="12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w:sz w:val="30"/>
                <w:szCs w:val="30"/>
              </w:rPr>
              <w:t>54%</w:t>
            </w:r>
          </w:p>
        </w:tc>
      </w:tr>
      <w:tr w:rsidR="002F2FD7" w14:paraId="4C941D0B" w14:textId="77777777" w:rsidTr="00AA15CE">
        <w:tblPrEx>
          <w:tblBorders>
            <w:top w:val="none" w:sz="0" w:space="0" w:color="auto"/>
          </w:tblBorders>
        </w:tblPrEx>
        <w:trPr>
          <w:jc w:val="center"/>
        </w:trPr>
        <w:tc>
          <w:tcPr>
            <w:tcW w:w="4374" w:type="dxa"/>
            <w:tcBorders>
              <w:top w:val="single" w:sz="8" w:space="0" w:color="688DC3"/>
              <w:left w:val="single" w:sz="8" w:space="0" w:color="688CC2"/>
              <w:bottom w:val="single" w:sz="8" w:space="0" w:color="688DC3"/>
              <w:right w:val="single" w:sz="8" w:space="0" w:color="688DC2"/>
            </w:tcBorders>
            <w:tcMar>
              <w:top w:w="20" w:type="nil"/>
              <w:left w:w="20" w:type="nil"/>
              <w:bottom w:w="20" w:type="nil"/>
              <w:right w:w="20" w:type="nil"/>
            </w:tcMar>
            <w:vAlign w:val="center"/>
          </w:tcPr>
          <w:p w14:paraId="47DED830" w14:textId="77777777" w:rsidR="002F2FD7" w:rsidRDefault="002F2FD7">
            <w:pPr>
              <w:widowControl w:val="0"/>
              <w:autoSpaceDE w:val="0"/>
              <w:autoSpaceDN w:val="0"/>
              <w:adjustRightInd w:val="0"/>
              <w:spacing w:after="240"/>
              <w:rPr>
                <w:rFonts w:ascii="Times" w:hAnsi="Times" w:cs="Times"/>
              </w:rPr>
            </w:pPr>
            <w:r>
              <w:rPr>
                <w:rFonts w:ascii="Calibri" w:hAnsi="Calibri" w:cs="Calibri"/>
                <w:b/>
                <w:bCs/>
                <w:sz w:val="30"/>
                <w:szCs w:val="30"/>
              </w:rPr>
              <w:t>Developing grant applications with a health equity focus</w:t>
            </w:r>
          </w:p>
        </w:tc>
        <w:tc>
          <w:tcPr>
            <w:tcW w:w="1854" w:type="dxa"/>
            <w:tcBorders>
              <w:top w:val="single" w:sz="8" w:space="0" w:color="688DC3"/>
              <w:left w:val="single" w:sz="8" w:space="0" w:color="688CC2"/>
              <w:bottom w:val="single" w:sz="8" w:space="0" w:color="688DC3"/>
              <w:right w:val="single" w:sz="8" w:space="0" w:color="688DC2"/>
            </w:tcBorders>
            <w:vAlign w:val="center"/>
          </w:tcPr>
          <w:p w14:paraId="496F4418" w14:textId="4E12F21B" w:rsidR="002F2FD7" w:rsidRDefault="002F2FD7">
            <w:pPr>
              <w:widowControl w:val="0"/>
              <w:autoSpaceDE w:val="0"/>
              <w:autoSpaceDN w:val="0"/>
              <w:adjustRightInd w:val="0"/>
              <w:spacing w:after="240"/>
              <w:rPr>
                <w:rFonts w:ascii="Times" w:hAnsi="Times" w:cs="Times"/>
              </w:rPr>
            </w:pPr>
            <w:r>
              <w:rPr>
                <w:rFonts w:ascii="Calibri" w:hAnsi="Calibri" w:cs="Calibri"/>
                <w:sz w:val="30"/>
                <w:szCs w:val="30"/>
              </w:rPr>
              <w:t>48%</w:t>
            </w:r>
          </w:p>
        </w:tc>
      </w:tr>
      <w:tr w:rsidR="002F2FD7" w14:paraId="78607A94" w14:textId="77777777" w:rsidTr="00AA15CE">
        <w:trPr>
          <w:jc w:val="center"/>
        </w:trPr>
        <w:tc>
          <w:tcPr>
            <w:tcW w:w="4374" w:type="dxa"/>
            <w:tcBorders>
              <w:top w:val="single" w:sz="8" w:space="0" w:color="688DC3"/>
              <w:left w:val="single" w:sz="8" w:space="0" w:color="688DC0"/>
              <w:bottom w:val="single" w:sz="8" w:space="0" w:color="688DC3"/>
              <w:right w:val="single" w:sz="8" w:space="0" w:color="698CC2"/>
            </w:tcBorders>
            <w:shd w:val="clear" w:color="auto" w:fill="C9D7EA"/>
            <w:tcMar>
              <w:top w:w="20" w:type="nil"/>
              <w:left w:w="20" w:type="nil"/>
              <w:bottom w:w="20" w:type="nil"/>
              <w:right w:w="20" w:type="nil"/>
            </w:tcMar>
            <w:vAlign w:val="center"/>
          </w:tcPr>
          <w:p w14:paraId="692AFE0B" w14:textId="680FE968"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307BED9D" wp14:editId="49E4C2BF">
                  <wp:extent cx="12700" cy="12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01DBA4B" w14:textId="15ECAED8" w:rsidR="002F2FD7" w:rsidRDefault="002F2FD7" w:rsidP="002F2FD7">
            <w:pPr>
              <w:widowControl w:val="0"/>
              <w:autoSpaceDE w:val="0"/>
              <w:autoSpaceDN w:val="0"/>
              <w:adjustRightInd w:val="0"/>
              <w:spacing w:after="240"/>
              <w:rPr>
                <w:rFonts w:ascii="Times" w:hAnsi="Times" w:cs="Times"/>
              </w:rPr>
            </w:pPr>
            <w:r>
              <w:rPr>
                <w:rFonts w:ascii="Calibri" w:hAnsi="Calibri" w:cs="Calibri"/>
                <w:b/>
                <w:bCs/>
                <w:sz w:val="30"/>
                <w:szCs w:val="30"/>
              </w:rPr>
              <w:t xml:space="preserve">None of these </w:t>
            </w:r>
          </w:p>
        </w:tc>
        <w:tc>
          <w:tcPr>
            <w:tcW w:w="1854" w:type="dxa"/>
            <w:tcBorders>
              <w:top w:val="single" w:sz="8" w:space="0" w:color="688DC3"/>
              <w:left w:val="single" w:sz="8" w:space="0" w:color="688DC0"/>
              <w:bottom w:val="single" w:sz="8" w:space="0" w:color="688DC3"/>
              <w:right w:val="single" w:sz="8" w:space="0" w:color="698CC2"/>
            </w:tcBorders>
            <w:shd w:val="clear" w:color="auto" w:fill="C9D7EA"/>
            <w:vAlign w:val="center"/>
          </w:tcPr>
          <w:p w14:paraId="6C32EAA4" w14:textId="33FC5356" w:rsidR="002F2FD7" w:rsidRDefault="002F2FD7">
            <w:pPr>
              <w:widowControl w:val="0"/>
              <w:autoSpaceDE w:val="0"/>
              <w:autoSpaceDN w:val="0"/>
              <w:adjustRightInd w:val="0"/>
              <w:rPr>
                <w:rFonts w:ascii="Times" w:hAnsi="Times" w:cs="Times"/>
              </w:rPr>
            </w:pPr>
            <w:r>
              <w:rPr>
                <w:rFonts w:ascii="Times" w:hAnsi="Times" w:cs="Times"/>
                <w:noProof/>
              </w:rPr>
              <w:drawing>
                <wp:inline distT="0" distB="0" distL="0" distR="0" wp14:anchorId="1D576D4A" wp14:editId="2D06B012">
                  <wp:extent cx="12700" cy="12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Calibri" w:hAnsi="Calibri" w:cs="Calibri"/>
                <w:sz w:val="30"/>
                <w:szCs w:val="30"/>
              </w:rPr>
              <w:t>6%</w:t>
            </w:r>
          </w:p>
        </w:tc>
      </w:tr>
    </w:tbl>
    <w:p w14:paraId="366D8841" w14:textId="7C852FA8" w:rsidR="002F2FD7" w:rsidRPr="001528FF" w:rsidRDefault="002F2FD7" w:rsidP="001528FF">
      <w:pPr>
        <w:widowControl w:val="0"/>
        <w:autoSpaceDE w:val="0"/>
        <w:autoSpaceDN w:val="0"/>
        <w:adjustRightInd w:val="0"/>
        <w:spacing w:after="240"/>
        <w:rPr>
          <w:rFonts w:ascii="Times" w:hAnsi="Times" w:cs="Times"/>
        </w:rPr>
      </w:pPr>
      <w:r>
        <w:rPr>
          <w:rFonts w:ascii="Calibri" w:hAnsi="Calibri" w:cs="Calibri"/>
        </w:rPr>
        <w:t>Note: respondents could have selected more than one area so percentages do not sum to 100</w:t>
      </w:r>
    </w:p>
    <w:p w14:paraId="1C824CC0" w14:textId="77777777" w:rsidR="001528FF" w:rsidRDefault="001528FF" w:rsidP="00E02A01">
      <w:pPr>
        <w:spacing w:line="360" w:lineRule="auto"/>
      </w:pPr>
    </w:p>
    <w:p w14:paraId="56786951" w14:textId="7DC4EF26" w:rsidR="00B060D6" w:rsidRDefault="00C335FC" w:rsidP="00E02A01">
      <w:pPr>
        <w:spacing w:line="360" w:lineRule="auto"/>
      </w:pPr>
      <w:r>
        <w:t>We would</w:t>
      </w:r>
      <w:r w:rsidR="001528FF">
        <w:t xml:space="preserve"> </w:t>
      </w:r>
      <w:r w:rsidR="00344422">
        <w:t xml:space="preserve">like to </w:t>
      </w:r>
      <w:r w:rsidR="001528FF">
        <w:t xml:space="preserve">thank each person who took time to respond to the Assessment.  We hope to provide another opportunity for your voices to be heard so please be on the look out for more opportunities to participate in the near future.  Also, please be reminded, </w:t>
      </w:r>
      <w:r w:rsidR="005D1B75">
        <w:t xml:space="preserve">The Health Equity Council meets every second Thursday of the month at 2:00 pm EST.  </w:t>
      </w:r>
      <w:r>
        <w:t xml:space="preserve">For more information on the Health Equity Council, or NACDD’s work in health equity, </w:t>
      </w:r>
      <w:r w:rsidR="00F509F6">
        <w:t xml:space="preserve">how you can get involved in our work, </w:t>
      </w:r>
      <w:r w:rsidR="005D1B75">
        <w:t xml:space="preserve">or to be included on the Health Equity Council listserv, </w:t>
      </w:r>
      <w:r>
        <w:t>please contact Tiffany Pertillar, NACDD’s Council Consultant for Health Equity (</w:t>
      </w:r>
      <w:hyperlink r:id="rId13" w:history="1">
        <w:r w:rsidRPr="00D26D95">
          <w:rPr>
            <w:rStyle w:val="Hyperlink"/>
          </w:rPr>
          <w:t>tpertillar@chronicdisease.org</w:t>
        </w:r>
      </w:hyperlink>
      <w:r>
        <w:t xml:space="preserve">).   </w:t>
      </w:r>
    </w:p>
    <w:p w14:paraId="25C77A6F" w14:textId="77777777" w:rsidR="00F149A9" w:rsidRDefault="00F149A9" w:rsidP="00F149A9"/>
    <w:sectPr w:rsidR="00F149A9" w:rsidSect="00AA15CE">
      <w:footerReference w:type="default" r:id="rId1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71964" w14:textId="77777777" w:rsidR="00435715" w:rsidRDefault="00435715" w:rsidP="00435715">
      <w:r>
        <w:separator/>
      </w:r>
    </w:p>
  </w:endnote>
  <w:endnote w:type="continuationSeparator" w:id="0">
    <w:p w14:paraId="7ACE5E63" w14:textId="77777777" w:rsidR="00435715" w:rsidRDefault="00435715" w:rsidP="0043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DFAD" w14:textId="373D8818" w:rsidR="00435715" w:rsidRPr="00E33A15" w:rsidRDefault="00435715">
    <w:pPr>
      <w:pStyle w:val="Footer"/>
      <w:rPr>
        <w:rFonts w:asciiTheme="majorHAnsi" w:hAnsiTheme="majorHAnsi"/>
      </w:rPr>
    </w:pPr>
    <w:r w:rsidRPr="00E33A15">
      <w:rPr>
        <w:rFonts w:asciiTheme="majorHAnsi" w:hAnsiTheme="majorHAnsi"/>
      </w:rPr>
      <w:t>National Associa</w:t>
    </w:r>
    <w:r w:rsidR="00E33A15" w:rsidRPr="00E33A15">
      <w:rPr>
        <w:rFonts w:asciiTheme="majorHAnsi" w:hAnsiTheme="majorHAnsi"/>
      </w:rPr>
      <w:t xml:space="preserve">tion of Chronic Disease Directors </w:t>
    </w:r>
    <w:r w:rsidR="00E33A15" w:rsidRPr="00E33A15">
      <w:rPr>
        <w:rFonts w:asciiTheme="majorHAnsi" w:hAnsiTheme="majorHAnsi"/>
      </w:rPr>
      <w:tab/>
      <w:t>www.chronicdisease.org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39586" w14:textId="77777777" w:rsidR="00435715" w:rsidRDefault="00435715" w:rsidP="00435715">
      <w:r>
        <w:separator/>
      </w:r>
    </w:p>
  </w:footnote>
  <w:footnote w:type="continuationSeparator" w:id="0">
    <w:p w14:paraId="0F4B0975" w14:textId="77777777" w:rsidR="00435715" w:rsidRDefault="00435715" w:rsidP="00435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A9"/>
    <w:rsid w:val="00015FA7"/>
    <w:rsid w:val="000D2383"/>
    <w:rsid w:val="000D56F1"/>
    <w:rsid w:val="001528FF"/>
    <w:rsid w:val="001F0137"/>
    <w:rsid w:val="002F2FD7"/>
    <w:rsid w:val="0033191A"/>
    <w:rsid w:val="00344422"/>
    <w:rsid w:val="0034730C"/>
    <w:rsid w:val="00370285"/>
    <w:rsid w:val="003F2D9C"/>
    <w:rsid w:val="00435715"/>
    <w:rsid w:val="005509C1"/>
    <w:rsid w:val="005B70A3"/>
    <w:rsid w:val="005D1B75"/>
    <w:rsid w:val="006F5A42"/>
    <w:rsid w:val="00736C8F"/>
    <w:rsid w:val="007A1D58"/>
    <w:rsid w:val="00930632"/>
    <w:rsid w:val="00A00C1C"/>
    <w:rsid w:val="00AA15CE"/>
    <w:rsid w:val="00B060D6"/>
    <w:rsid w:val="00BE5B1B"/>
    <w:rsid w:val="00C31430"/>
    <w:rsid w:val="00C335FC"/>
    <w:rsid w:val="00C514DC"/>
    <w:rsid w:val="00CD31C8"/>
    <w:rsid w:val="00E02A01"/>
    <w:rsid w:val="00E33A15"/>
    <w:rsid w:val="00E7321C"/>
    <w:rsid w:val="00E875F5"/>
    <w:rsid w:val="00F032CF"/>
    <w:rsid w:val="00F149A9"/>
    <w:rsid w:val="00F509F6"/>
    <w:rsid w:val="00F81246"/>
    <w:rsid w:val="00F96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D2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A7"/>
    <w:rPr>
      <w:color w:val="0000FF" w:themeColor="hyperlink"/>
      <w:u w:val="single"/>
    </w:rPr>
  </w:style>
  <w:style w:type="paragraph" w:styleId="BalloonText">
    <w:name w:val="Balloon Text"/>
    <w:basedOn w:val="Normal"/>
    <w:link w:val="BalloonTextChar"/>
    <w:uiPriority w:val="99"/>
    <w:semiHidden/>
    <w:unhideWhenUsed/>
    <w:rsid w:val="00015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FA7"/>
    <w:rPr>
      <w:rFonts w:ascii="Lucida Grande" w:hAnsi="Lucida Grande" w:cs="Lucida Grande"/>
      <w:sz w:val="18"/>
      <w:szCs w:val="18"/>
    </w:rPr>
  </w:style>
  <w:style w:type="paragraph" w:styleId="Header">
    <w:name w:val="header"/>
    <w:basedOn w:val="Normal"/>
    <w:link w:val="HeaderChar"/>
    <w:uiPriority w:val="99"/>
    <w:unhideWhenUsed/>
    <w:rsid w:val="00435715"/>
    <w:pPr>
      <w:tabs>
        <w:tab w:val="center" w:pos="4320"/>
        <w:tab w:val="right" w:pos="8640"/>
      </w:tabs>
    </w:pPr>
  </w:style>
  <w:style w:type="character" w:customStyle="1" w:styleId="HeaderChar">
    <w:name w:val="Header Char"/>
    <w:basedOn w:val="DefaultParagraphFont"/>
    <w:link w:val="Header"/>
    <w:uiPriority w:val="99"/>
    <w:rsid w:val="00435715"/>
  </w:style>
  <w:style w:type="paragraph" w:styleId="Footer">
    <w:name w:val="footer"/>
    <w:basedOn w:val="Normal"/>
    <w:link w:val="FooterChar"/>
    <w:uiPriority w:val="99"/>
    <w:unhideWhenUsed/>
    <w:rsid w:val="00435715"/>
    <w:pPr>
      <w:tabs>
        <w:tab w:val="center" w:pos="4320"/>
        <w:tab w:val="right" w:pos="8640"/>
      </w:tabs>
    </w:pPr>
  </w:style>
  <w:style w:type="character" w:customStyle="1" w:styleId="FooterChar">
    <w:name w:val="Footer Char"/>
    <w:basedOn w:val="DefaultParagraphFont"/>
    <w:link w:val="Footer"/>
    <w:uiPriority w:val="99"/>
    <w:rsid w:val="00435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A7"/>
    <w:rPr>
      <w:color w:val="0000FF" w:themeColor="hyperlink"/>
      <w:u w:val="single"/>
    </w:rPr>
  </w:style>
  <w:style w:type="paragraph" w:styleId="BalloonText">
    <w:name w:val="Balloon Text"/>
    <w:basedOn w:val="Normal"/>
    <w:link w:val="BalloonTextChar"/>
    <w:uiPriority w:val="99"/>
    <w:semiHidden/>
    <w:unhideWhenUsed/>
    <w:rsid w:val="00015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FA7"/>
    <w:rPr>
      <w:rFonts w:ascii="Lucida Grande" w:hAnsi="Lucida Grande" w:cs="Lucida Grande"/>
      <w:sz w:val="18"/>
      <w:szCs w:val="18"/>
    </w:rPr>
  </w:style>
  <w:style w:type="paragraph" w:styleId="Header">
    <w:name w:val="header"/>
    <w:basedOn w:val="Normal"/>
    <w:link w:val="HeaderChar"/>
    <w:uiPriority w:val="99"/>
    <w:unhideWhenUsed/>
    <w:rsid w:val="00435715"/>
    <w:pPr>
      <w:tabs>
        <w:tab w:val="center" w:pos="4320"/>
        <w:tab w:val="right" w:pos="8640"/>
      </w:tabs>
    </w:pPr>
  </w:style>
  <w:style w:type="character" w:customStyle="1" w:styleId="HeaderChar">
    <w:name w:val="Header Char"/>
    <w:basedOn w:val="DefaultParagraphFont"/>
    <w:link w:val="Header"/>
    <w:uiPriority w:val="99"/>
    <w:rsid w:val="00435715"/>
  </w:style>
  <w:style w:type="paragraph" w:styleId="Footer">
    <w:name w:val="footer"/>
    <w:basedOn w:val="Normal"/>
    <w:link w:val="FooterChar"/>
    <w:uiPriority w:val="99"/>
    <w:unhideWhenUsed/>
    <w:rsid w:val="00435715"/>
    <w:pPr>
      <w:tabs>
        <w:tab w:val="center" w:pos="4320"/>
        <w:tab w:val="right" w:pos="8640"/>
      </w:tabs>
    </w:pPr>
  </w:style>
  <w:style w:type="character" w:customStyle="1" w:styleId="FooterChar">
    <w:name w:val="Footer Char"/>
    <w:basedOn w:val="DefaultParagraphFont"/>
    <w:link w:val="Footer"/>
    <w:uiPriority w:val="99"/>
    <w:rsid w:val="0043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mailto:tpertillar@chronicdisease.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0.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Words>
  <Characters>4840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Pertillar</dc:creator>
  <cp:lastModifiedBy>NACDD</cp:lastModifiedBy>
  <cp:revision>2</cp:revision>
  <dcterms:created xsi:type="dcterms:W3CDTF">2015-10-27T15:44:00Z</dcterms:created>
  <dcterms:modified xsi:type="dcterms:W3CDTF">2015-10-27T15:44:00Z</dcterms:modified>
</cp:coreProperties>
</file>